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192" w14:textId="77777777" w:rsidR="0088073D" w:rsidRPr="007C26B9" w:rsidRDefault="0088073D" w:rsidP="00710948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</w:rPr>
      </w:pPr>
      <w:r w:rsidRPr="007C26B9">
        <w:rPr>
          <w:rFonts w:ascii="Helvetica Neue" w:hAnsi="Helvetica Neue"/>
          <w:b/>
          <w:bCs/>
          <w:sz w:val="20"/>
          <w:szCs w:val="20"/>
        </w:rPr>
        <w:t xml:space="preserve">The annual remuneration report regarding the remuneration of the management of </w:t>
      </w:r>
    </w:p>
    <w:p w14:paraId="29ED4260" w14:textId="797754A4" w:rsidR="00710948" w:rsidRPr="007C26B9" w:rsidRDefault="007C26B9" w:rsidP="00710948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</w:rPr>
      </w:pPr>
      <w:bookmarkStart w:id="0" w:name="_Hlk98759348"/>
      <w:proofErr w:type="spellStart"/>
      <w:r w:rsidRPr="007C26B9">
        <w:rPr>
          <w:rFonts w:ascii="Helvetica Neue" w:hAnsi="Helvetica Neue" w:cstheme="minorHAnsi"/>
          <w:b/>
          <w:sz w:val="20"/>
          <w:szCs w:val="20"/>
        </w:rPr>
        <w:t>Agroserv</w:t>
      </w:r>
      <w:proofErr w:type="spellEnd"/>
      <w:r w:rsidRPr="007C26B9">
        <w:rPr>
          <w:rFonts w:ascii="Helvetica Neue" w:hAnsi="Helvetica Neue" w:cstheme="minorHAnsi"/>
          <w:b/>
          <w:sz w:val="20"/>
          <w:szCs w:val="20"/>
        </w:rPr>
        <w:t xml:space="preserve"> </w:t>
      </w:r>
      <w:proofErr w:type="spellStart"/>
      <w:r w:rsidRPr="007C26B9">
        <w:rPr>
          <w:rFonts w:ascii="Helvetica Neue" w:hAnsi="Helvetica Neue" w:cstheme="minorHAnsi"/>
          <w:b/>
          <w:sz w:val="20"/>
          <w:szCs w:val="20"/>
        </w:rPr>
        <w:t>Mariuta</w:t>
      </w:r>
      <w:proofErr w:type="spellEnd"/>
      <w:r w:rsidRPr="007C26B9">
        <w:rPr>
          <w:rFonts w:ascii="Helvetica Neue" w:hAnsi="Helvetica Neue" w:cstheme="minorHAnsi"/>
          <w:b/>
          <w:sz w:val="20"/>
          <w:szCs w:val="20"/>
        </w:rPr>
        <w:t xml:space="preserve"> S.A</w:t>
      </w:r>
      <w:r w:rsidR="002D7C82" w:rsidRPr="007C26B9">
        <w:rPr>
          <w:rFonts w:ascii="Helvetica Neue" w:hAnsi="Helvetica Neue" w:cstheme="minorHAnsi"/>
          <w:b/>
          <w:sz w:val="20"/>
          <w:szCs w:val="20"/>
        </w:rPr>
        <w:t xml:space="preserve">. </w:t>
      </w:r>
      <w:r w:rsidR="00710948" w:rsidRPr="007C26B9">
        <w:rPr>
          <w:rFonts w:ascii="Helvetica Neue" w:hAnsi="Helvetica Neue"/>
          <w:b/>
          <w:bCs/>
          <w:sz w:val="20"/>
          <w:szCs w:val="20"/>
        </w:rPr>
        <w:t xml:space="preserve"> </w:t>
      </w:r>
    </w:p>
    <w:bookmarkEnd w:id="0"/>
    <w:p w14:paraId="0E18172C" w14:textId="205AF004" w:rsidR="00710948" w:rsidRPr="007C26B9" w:rsidRDefault="00710948" w:rsidP="00710948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</w:rPr>
      </w:pPr>
      <w:r w:rsidRPr="007C26B9">
        <w:rPr>
          <w:rFonts w:ascii="Helvetica Neue" w:hAnsi="Helvetica Neue"/>
          <w:b/>
          <w:bCs/>
          <w:sz w:val="20"/>
          <w:szCs w:val="20"/>
        </w:rPr>
        <w:t>(„</w:t>
      </w:r>
      <w:r w:rsidR="0088073D" w:rsidRPr="007C26B9">
        <w:rPr>
          <w:rFonts w:ascii="Helvetica Neue" w:hAnsi="Helvetica Neue"/>
          <w:b/>
          <w:bCs/>
          <w:sz w:val="20"/>
          <w:szCs w:val="20"/>
        </w:rPr>
        <w:t>Company</w:t>
      </w:r>
      <w:r w:rsidRPr="007C26B9">
        <w:rPr>
          <w:rFonts w:ascii="Helvetica Neue" w:hAnsi="Helvetica Neue"/>
          <w:b/>
          <w:bCs/>
          <w:sz w:val="20"/>
          <w:szCs w:val="20"/>
        </w:rPr>
        <w:t>”)</w:t>
      </w:r>
    </w:p>
    <w:p w14:paraId="2B645C11" w14:textId="748AAADD" w:rsidR="0088073D" w:rsidRPr="007C26B9" w:rsidRDefault="0088073D" w:rsidP="00710948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</w:rPr>
      </w:pPr>
      <w:r w:rsidRPr="007C26B9">
        <w:rPr>
          <w:rFonts w:ascii="Helvetica Neue" w:hAnsi="Helvetica Neue"/>
          <w:sz w:val="20"/>
          <w:szCs w:val="20"/>
        </w:rPr>
        <w:t xml:space="preserve">The </w:t>
      </w:r>
      <w:r w:rsidR="007C26B9">
        <w:rPr>
          <w:rFonts w:ascii="Helvetica Neue" w:hAnsi="Helvetica Neue"/>
          <w:sz w:val="20"/>
          <w:szCs w:val="20"/>
        </w:rPr>
        <w:t>Board of Directors</w:t>
      </w:r>
      <w:r w:rsidRPr="007C26B9">
        <w:rPr>
          <w:rFonts w:ascii="Helvetica Neue" w:hAnsi="Helvetica Neue"/>
          <w:sz w:val="20"/>
          <w:szCs w:val="20"/>
        </w:rPr>
        <w:t xml:space="preserve"> of the Company has prepared this annual remuneration report (the “</w:t>
      </w:r>
      <w:r w:rsidRPr="007C26B9">
        <w:rPr>
          <w:rFonts w:ascii="Helvetica Neue" w:hAnsi="Helvetica Neue"/>
          <w:b/>
          <w:bCs/>
          <w:sz w:val="20"/>
          <w:szCs w:val="20"/>
        </w:rPr>
        <w:t>Remuneration Report</w:t>
      </w:r>
      <w:r w:rsidRPr="007C26B9">
        <w:rPr>
          <w:rFonts w:ascii="Helvetica Neue" w:hAnsi="Helvetica Neue"/>
          <w:sz w:val="20"/>
          <w:szCs w:val="20"/>
        </w:rPr>
        <w:t xml:space="preserve">”) which includes the remuneration and other benefits granted to the Company's </w:t>
      </w:r>
      <w:r w:rsidR="007C26B9">
        <w:rPr>
          <w:rFonts w:ascii="Helvetica Neue" w:hAnsi="Helvetica Neue"/>
          <w:sz w:val="20"/>
          <w:szCs w:val="20"/>
        </w:rPr>
        <w:t>Sole Director</w:t>
      </w:r>
      <w:r w:rsidRPr="007C26B9">
        <w:rPr>
          <w:rFonts w:ascii="Helvetica Neue" w:hAnsi="Helvetica Neue"/>
          <w:sz w:val="20"/>
          <w:szCs w:val="20"/>
        </w:rPr>
        <w:t xml:space="preserve"> during the financial year ended 31 December 2021.</w:t>
      </w:r>
    </w:p>
    <w:p w14:paraId="10980F18" w14:textId="6A510FB0" w:rsidR="00710948" w:rsidRPr="007C26B9" w:rsidRDefault="0088073D" w:rsidP="00710948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</w:rPr>
      </w:pPr>
      <w:r w:rsidRPr="007C26B9">
        <w:rPr>
          <w:rFonts w:ascii="Helvetica Neue" w:hAnsi="Helvetica Neue"/>
          <w:sz w:val="20"/>
          <w:szCs w:val="20"/>
        </w:rPr>
        <w:t xml:space="preserve">The Remuneration Report will be submitted to the </w:t>
      </w:r>
      <w:r w:rsidR="001C33A7" w:rsidRPr="007C26B9">
        <w:rPr>
          <w:rFonts w:ascii="Helvetica Neue" w:hAnsi="Helvetica Neue"/>
          <w:sz w:val="20"/>
          <w:szCs w:val="20"/>
        </w:rPr>
        <w:t xml:space="preserve">consultative </w:t>
      </w:r>
      <w:r w:rsidRPr="007C26B9">
        <w:rPr>
          <w:rFonts w:ascii="Helvetica Neue" w:hAnsi="Helvetica Neue"/>
          <w:sz w:val="20"/>
          <w:szCs w:val="20"/>
        </w:rPr>
        <w:t>vote of the ordinary general meeting of the Company's shareholders ("</w:t>
      </w:r>
      <w:r w:rsidRPr="007C26B9">
        <w:rPr>
          <w:rFonts w:ascii="Helvetica Neue" w:hAnsi="Helvetica Neue"/>
          <w:b/>
          <w:bCs/>
          <w:sz w:val="20"/>
          <w:szCs w:val="20"/>
        </w:rPr>
        <w:t>OGMS</w:t>
      </w:r>
      <w:r w:rsidRPr="007C26B9">
        <w:rPr>
          <w:rFonts w:ascii="Helvetica Neue" w:hAnsi="Helvetica Neue"/>
          <w:sz w:val="20"/>
          <w:szCs w:val="20"/>
        </w:rPr>
        <w:t xml:space="preserve">") convened for </w:t>
      </w:r>
      <w:r w:rsidR="007C26B9">
        <w:rPr>
          <w:rFonts w:ascii="Helvetica Neue" w:hAnsi="Helvetica Neue"/>
          <w:sz w:val="20"/>
          <w:szCs w:val="20"/>
        </w:rPr>
        <w:t>21</w:t>
      </w:r>
      <w:r w:rsidRPr="007C26B9">
        <w:rPr>
          <w:rFonts w:ascii="Helvetica Neue" w:hAnsi="Helvetica Neue"/>
          <w:sz w:val="20"/>
          <w:szCs w:val="20"/>
        </w:rPr>
        <w:t>/</w:t>
      </w:r>
      <w:r w:rsidR="007C26B9">
        <w:rPr>
          <w:rFonts w:ascii="Helvetica Neue" w:hAnsi="Helvetica Neue"/>
          <w:sz w:val="20"/>
          <w:szCs w:val="20"/>
        </w:rPr>
        <w:t>26</w:t>
      </w:r>
      <w:r w:rsidRPr="007C26B9">
        <w:rPr>
          <w:rFonts w:ascii="Helvetica Neue" w:hAnsi="Helvetica Neue"/>
          <w:sz w:val="20"/>
          <w:szCs w:val="20"/>
        </w:rPr>
        <w:t xml:space="preserve"> April 2022, </w:t>
      </w:r>
      <w:r w:rsidR="00D87588">
        <w:rPr>
          <w:rFonts w:ascii="Helvetica Neue" w:hAnsi="Helvetica Neue"/>
          <w:sz w:val="20"/>
          <w:szCs w:val="20"/>
        </w:rPr>
        <w:t>w</w:t>
      </w:r>
      <w:r w:rsidRPr="007C26B9">
        <w:rPr>
          <w:rFonts w:ascii="Helvetica Neue" w:hAnsi="Helvetica Neue"/>
          <w:sz w:val="20"/>
          <w:szCs w:val="20"/>
        </w:rPr>
        <w:t xml:space="preserve">ill be published on the Company's website at </w:t>
      </w:r>
      <w:bookmarkStart w:id="1" w:name="_Hlk98759422"/>
      <w:r w:rsidR="007C26B9">
        <w:rPr>
          <w:rFonts w:ascii="Helvetica Neue" w:hAnsi="Helvetica Neue"/>
          <w:sz w:val="20"/>
          <w:szCs w:val="20"/>
        </w:rPr>
        <w:fldChar w:fldCharType="begin"/>
      </w:r>
      <w:r w:rsidR="007C26B9">
        <w:rPr>
          <w:rFonts w:ascii="Helvetica Neue" w:hAnsi="Helvetica Neue"/>
          <w:sz w:val="20"/>
          <w:szCs w:val="20"/>
        </w:rPr>
        <w:instrText xml:space="preserve"> HYPERLINK "http://www.laptariacucaimac.ro" </w:instrText>
      </w:r>
      <w:r w:rsidR="007C26B9">
        <w:rPr>
          <w:rFonts w:ascii="Helvetica Neue" w:hAnsi="Helvetica Neue"/>
          <w:sz w:val="20"/>
          <w:szCs w:val="20"/>
        </w:rPr>
        <w:fldChar w:fldCharType="separate"/>
      </w:r>
      <w:r w:rsidR="007C26B9" w:rsidRPr="003F3B8C">
        <w:rPr>
          <w:rStyle w:val="Hyperlink"/>
          <w:rFonts w:ascii="Helvetica Neue" w:hAnsi="Helvetica Neue"/>
          <w:sz w:val="20"/>
          <w:szCs w:val="20"/>
        </w:rPr>
        <w:t>www.lap</w:t>
      </w:r>
      <w:r w:rsidR="007C26B9" w:rsidRPr="003F3B8C">
        <w:rPr>
          <w:rStyle w:val="Hyperlink"/>
          <w:rFonts w:ascii="Helvetica Neue" w:hAnsi="Helvetica Neue"/>
          <w:sz w:val="20"/>
          <w:szCs w:val="20"/>
        </w:rPr>
        <w:t>t</w:t>
      </w:r>
      <w:r w:rsidR="007C26B9" w:rsidRPr="003F3B8C">
        <w:rPr>
          <w:rStyle w:val="Hyperlink"/>
          <w:rFonts w:ascii="Helvetica Neue" w:hAnsi="Helvetica Neue"/>
          <w:sz w:val="20"/>
          <w:szCs w:val="20"/>
        </w:rPr>
        <w:t>ariacucaimac.ro</w:t>
      </w:r>
      <w:r w:rsidR="007C26B9">
        <w:rPr>
          <w:rFonts w:ascii="Helvetica Neue" w:hAnsi="Helvetica Neue"/>
          <w:sz w:val="20"/>
          <w:szCs w:val="20"/>
        </w:rPr>
        <w:fldChar w:fldCharType="end"/>
      </w:r>
      <w:bookmarkEnd w:id="1"/>
      <w:r w:rsidR="007C26B9">
        <w:rPr>
          <w:rFonts w:ascii="Helvetica Neue" w:hAnsi="Helvetica Neue"/>
          <w:sz w:val="20"/>
          <w:szCs w:val="20"/>
        </w:rPr>
        <w:t xml:space="preserve"> </w:t>
      </w:r>
      <w:r w:rsidRPr="007C26B9">
        <w:rPr>
          <w:rFonts w:ascii="Helvetica Neue" w:hAnsi="Helvetica Neue"/>
          <w:sz w:val="20"/>
          <w:szCs w:val="20"/>
        </w:rPr>
        <w:t>and will remain available to the public for 10 years from publication, in accordance with applicable legal provisions.</w:t>
      </w:r>
    </w:p>
    <w:p w14:paraId="1CCE8F97" w14:textId="2165D22F" w:rsidR="0088073D" w:rsidRPr="007C26B9" w:rsidRDefault="0088073D" w:rsidP="003B5B12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</w:rPr>
      </w:pPr>
      <w:r w:rsidRPr="007C26B9">
        <w:rPr>
          <w:rFonts w:ascii="Helvetica Neue" w:hAnsi="Helvetica Neue"/>
          <w:sz w:val="20"/>
          <w:szCs w:val="20"/>
        </w:rPr>
        <w:t xml:space="preserve">The Remuneration Report provides an overview of remuneration, including all benefits, regardless of form, granted or due during the last financial year, to </w:t>
      </w:r>
      <w:r w:rsidR="007C26B9">
        <w:rPr>
          <w:rFonts w:ascii="Helvetica Neue" w:hAnsi="Helvetica Neue"/>
          <w:sz w:val="20"/>
          <w:szCs w:val="20"/>
        </w:rPr>
        <w:t>the sole director</w:t>
      </w:r>
      <w:r w:rsidRPr="007C26B9">
        <w:rPr>
          <w:rFonts w:ascii="Helvetica Neue" w:hAnsi="Helvetica Neue"/>
          <w:sz w:val="20"/>
          <w:szCs w:val="20"/>
        </w:rPr>
        <w:t>.</w:t>
      </w:r>
    </w:p>
    <w:p w14:paraId="120C0907" w14:textId="7407A92D" w:rsidR="0088073D" w:rsidRPr="007C26B9" w:rsidRDefault="0088073D" w:rsidP="0088073D">
      <w:pPr>
        <w:spacing w:before="120" w:after="120" w:line="240" w:lineRule="exact"/>
        <w:jc w:val="both"/>
        <w:rPr>
          <w:rFonts w:ascii="Helvetica Neue" w:hAnsi="Helvetica Neue"/>
          <w:b/>
          <w:bCs/>
          <w:sz w:val="20"/>
          <w:szCs w:val="20"/>
        </w:rPr>
      </w:pPr>
      <w:r w:rsidRPr="007C26B9">
        <w:rPr>
          <w:rFonts w:ascii="Helvetica Neue" w:hAnsi="Helvetica Neue"/>
          <w:b/>
          <w:bCs/>
          <w:sz w:val="20"/>
          <w:szCs w:val="20"/>
        </w:rPr>
        <w:t>Remuneration Structure for the Company’s management for the year 202</w:t>
      </w:r>
      <w:r w:rsidR="007C26B9">
        <w:rPr>
          <w:rFonts w:ascii="Helvetica Neue" w:hAnsi="Helvetica Neue"/>
          <w:b/>
          <w:bCs/>
          <w:sz w:val="20"/>
          <w:szCs w:val="20"/>
        </w:rPr>
        <w:t>1</w:t>
      </w:r>
      <w:r w:rsidRPr="007C26B9">
        <w:rPr>
          <w:rStyle w:val="FootnoteReference"/>
          <w:rFonts w:ascii="Helvetica Neue" w:hAnsi="Helvetica Neue"/>
          <w:b/>
          <w:bCs/>
          <w:sz w:val="20"/>
          <w:szCs w:val="20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529"/>
        <w:gridCol w:w="1926"/>
        <w:gridCol w:w="2525"/>
      </w:tblGrid>
      <w:tr w:rsidR="003B5B12" w:rsidRPr="007C26B9" w14:paraId="4172959A" w14:textId="72D32E40" w:rsidTr="003B5B12">
        <w:trPr>
          <w:trHeight w:val="1641"/>
        </w:trPr>
        <w:tc>
          <w:tcPr>
            <w:tcW w:w="1267" w:type="pct"/>
            <w:shd w:val="clear" w:color="auto" w:fill="auto"/>
          </w:tcPr>
          <w:p w14:paraId="0D44BC47" w14:textId="77777777" w:rsidR="003B5B12" w:rsidRPr="007C26B9" w:rsidRDefault="003B5B12" w:rsidP="00874082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352" w:type="pct"/>
            <w:shd w:val="clear" w:color="auto" w:fill="auto"/>
          </w:tcPr>
          <w:p w14:paraId="20F7BAB9" w14:textId="4941412F" w:rsidR="003B5B12" w:rsidRPr="007C26B9" w:rsidRDefault="0088073D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C26B9">
              <w:rPr>
                <w:rFonts w:ascii="Helvetica Neue" w:hAnsi="Helvetica Neue"/>
                <w:b/>
                <w:bCs/>
                <w:sz w:val="20"/>
                <w:szCs w:val="20"/>
              </w:rPr>
              <w:t>Total remuneration (broken down by components)</w:t>
            </w:r>
          </w:p>
        </w:tc>
        <w:tc>
          <w:tcPr>
            <w:tcW w:w="1030" w:type="pct"/>
            <w:shd w:val="clear" w:color="auto" w:fill="auto"/>
          </w:tcPr>
          <w:p w14:paraId="48BE636A" w14:textId="34701B0C" w:rsidR="003B5B12" w:rsidRPr="007C26B9" w:rsidRDefault="0088073D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C26B9">
              <w:rPr>
                <w:rFonts w:ascii="Helvetica Neue" w:hAnsi="Helvetica Neue"/>
                <w:b/>
                <w:bCs/>
                <w:sz w:val="20"/>
                <w:szCs w:val="20"/>
              </w:rPr>
              <w:t>Other benefits</w:t>
            </w:r>
          </w:p>
        </w:tc>
        <w:tc>
          <w:tcPr>
            <w:tcW w:w="1350" w:type="pct"/>
            <w:shd w:val="clear" w:color="auto" w:fill="auto"/>
          </w:tcPr>
          <w:p w14:paraId="4AF8AF86" w14:textId="474FAF97" w:rsidR="003B5B12" w:rsidRPr="007C26B9" w:rsidRDefault="0088073D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C26B9">
              <w:rPr>
                <w:rFonts w:ascii="Helvetica Neue" w:hAnsi="Helvetica Neue"/>
                <w:b/>
                <w:bCs/>
                <w:sz w:val="20"/>
                <w:szCs w:val="20"/>
              </w:rPr>
              <w:t>Remuneration received from any entity belonging to the same group</w:t>
            </w:r>
          </w:p>
        </w:tc>
      </w:tr>
      <w:tr w:rsidR="003B5B12" w:rsidRPr="007C26B9" w14:paraId="69814514" w14:textId="2EC1957B" w:rsidTr="003B5B12">
        <w:tc>
          <w:tcPr>
            <w:tcW w:w="1267" w:type="pct"/>
            <w:shd w:val="clear" w:color="auto" w:fill="auto"/>
          </w:tcPr>
          <w:p w14:paraId="63E1FA54" w14:textId="0DE69FB4" w:rsidR="003B5B12" w:rsidRPr="007C26B9" w:rsidRDefault="007C26B9" w:rsidP="00874082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 w:cstheme="minorHAnsi"/>
                <w:sz w:val="20"/>
                <w:szCs w:val="20"/>
              </w:rPr>
              <w:t>SERBAN NICUSOR</w:t>
            </w:r>
            <w:r w:rsidR="003B5B12" w:rsidRPr="007C26B9">
              <w:rPr>
                <w:rFonts w:ascii="Helvetica Neue" w:hAnsi="Helvetica Neue"/>
                <w:sz w:val="20"/>
                <w:szCs w:val="20"/>
              </w:rPr>
              <w:t xml:space="preserve"> – </w:t>
            </w:r>
            <w:r w:rsidR="0088073D" w:rsidRPr="007C26B9">
              <w:rPr>
                <w:rFonts w:ascii="Helvetica Neue" w:hAnsi="Helvetica Neue"/>
                <w:sz w:val="20"/>
                <w:szCs w:val="20"/>
              </w:rPr>
              <w:t>sole director</w:t>
            </w:r>
          </w:p>
        </w:tc>
        <w:tc>
          <w:tcPr>
            <w:tcW w:w="1352" w:type="pct"/>
            <w:shd w:val="clear" w:color="auto" w:fill="auto"/>
          </w:tcPr>
          <w:p w14:paraId="23EF9410" w14:textId="4623769C" w:rsidR="003B5B12" w:rsidRPr="007C26B9" w:rsidRDefault="00C55832" w:rsidP="00A762C4">
            <w:pPr>
              <w:rPr>
                <w:rFonts w:ascii="Helvetica Neue" w:hAnsi="Helvetica Neue"/>
                <w:sz w:val="20"/>
                <w:szCs w:val="20"/>
              </w:rPr>
            </w:pPr>
            <w:r w:rsidRPr="007C26B9">
              <w:rPr>
                <w:rFonts w:ascii="Helvetica Neue" w:hAnsi="Helvetica Neue"/>
                <w:sz w:val="20"/>
                <w:szCs w:val="20"/>
              </w:rPr>
              <w:t xml:space="preserve">Gross </w:t>
            </w:r>
            <w:r w:rsidR="000831B3">
              <w:rPr>
                <w:rFonts w:ascii="Helvetica Neue" w:hAnsi="Helvetica Neue"/>
                <w:sz w:val="20"/>
                <w:szCs w:val="20"/>
              </w:rPr>
              <w:t xml:space="preserve">annual </w:t>
            </w:r>
            <w:r w:rsidRPr="007C26B9">
              <w:rPr>
                <w:rFonts w:ascii="Helvetica Neue" w:hAnsi="Helvetica Neue"/>
                <w:sz w:val="20"/>
                <w:szCs w:val="20"/>
              </w:rPr>
              <w:t xml:space="preserve">remuneration in the amount of RON </w:t>
            </w:r>
            <w:r w:rsidR="007C26B9" w:rsidRPr="000831B3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257</w:t>
            </w:r>
            <w:r w:rsidR="007C26B9" w:rsidRPr="000831B3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,</w:t>
            </w:r>
            <w:r w:rsidR="007C26B9" w:rsidRPr="000831B3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276</w:t>
            </w:r>
          </w:p>
        </w:tc>
        <w:tc>
          <w:tcPr>
            <w:tcW w:w="1030" w:type="pct"/>
            <w:shd w:val="clear" w:color="auto" w:fill="auto"/>
          </w:tcPr>
          <w:p w14:paraId="7FC7693A" w14:textId="67DC1A29" w:rsidR="003B5B12" w:rsidRPr="007C26B9" w:rsidRDefault="000831B3" w:rsidP="00874082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Life insurance</w:t>
            </w:r>
          </w:p>
        </w:tc>
        <w:tc>
          <w:tcPr>
            <w:tcW w:w="1350" w:type="pct"/>
            <w:shd w:val="clear" w:color="auto" w:fill="auto"/>
          </w:tcPr>
          <w:p w14:paraId="0D9A0A13" w14:textId="01E48079" w:rsidR="003B5B12" w:rsidRPr="007C26B9" w:rsidRDefault="000831B3" w:rsidP="00874082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</w:t>
            </w:r>
          </w:p>
        </w:tc>
      </w:tr>
    </w:tbl>
    <w:p w14:paraId="1A136FE3" w14:textId="77777777" w:rsidR="00147442" w:rsidRPr="007C26B9" w:rsidRDefault="00147442" w:rsidP="003B5B12">
      <w:pPr>
        <w:rPr>
          <w:rFonts w:ascii="Helvetica Neue" w:hAnsi="Helvetica Neue"/>
          <w:sz w:val="20"/>
          <w:szCs w:val="20"/>
        </w:rPr>
      </w:pPr>
    </w:p>
    <w:sectPr w:rsidR="00147442" w:rsidRPr="007C26B9" w:rsidSect="002D7C82">
      <w:headerReference w:type="default" r:id="rId9"/>
      <w:footerReference w:type="default" r:id="rId10"/>
      <w:pgSz w:w="12240" w:h="15840"/>
      <w:pgMar w:top="25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48F4" w14:textId="77777777" w:rsidR="0062649F" w:rsidRDefault="0062649F">
      <w:pPr>
        <w:spacing w:after="0" w:line="240" w:lineRule="auto"/>
      </w:pPr>
      <w:r>
        <w:separator/>
      </w:r>
    </w:p>
  </w:endnote>
  <w:endnote w:type="continuationSeparator" w:id="0">
    <w:p w14:paraId="6CC67E24" w14:textId="77777777" w:rsidR="0062649F" w:rsidRDefault="0062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70D5" w14:textId="77777777" w:rsidR="006904AE" w:rsidRDefault="006904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p w14:paraId="6F03A813" w14:textId="053ABB79" w:rsidR="006904AE" w:rsidRDefault="006904AE" w:rsidP="000831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07BA" w14:textId="77777777" w:rsidR="0062649F" w:rsidRDefault="0062649F">
      <w:pPr>
        <w:spacing w:after="0" w:line="240" w:lineRule="auto"/>
      </w:pPr>
      <w:r>
        <w:separator/>
      </w:r>
    </w:p>
  </w:footnote>
  <w:footnote w:type="continuationSeparator" w:id="0">
    <w:p w14:paraId="23FC7061" w14:textId="77777777" w:rsidR="0062649F" w:rsidRDefault="0062649F">
      <w:pPr>
        <w:spacing w:after="0" w:line="240" w:lineRule="auto"/>
      </w:pPr>
      <w:r>
        <w:continuationSeparator/>
      </w:r>
    </w:p>
  </w:footnote>
  <w:footnote w:id="1">
    <w:p w14:paraId="72C30D68" w14:textId="003590F7" w:rsidR="0088073D" w:rsidRPr="00AB2593" w:rsidRDefault="0088073D" w:rsidP="0088073D">
      <w:pPr>
        <w:pStyle w:val="FootnoteText"/>
      </w:pPr>
      <w:r>
        <w:rPr>
          <w:rStyle w:val="FootnoteReference"/>
        </w:rPr>
        <w:footnoteRef/>
      </w:r>
      <w:r w:rsidRPr="00AB2593">
        <w:t xml:space="preserve">Starting with the financial year 2022, the Company will publish the remuneration report in accordance with the remuneration policy adopted by the decision of the ordinary general meeting of </w:t>
      </w:r>
      <w:r w:rsidR="000831B3">
        <w:t>18</w:t>
      </w:r>
      <w:r w:rsidR="009D4FDF">
        <w:t>.</w:t>
      </w:r>
      <w:r w:rsidR="000831B3">
        <w:t>08</w:t>
      </w:r>
      <w:r w:rsidR="009D4FDF">
        <w:t>.2021</w:t>
      </w:r>
      <w:r w:rsidRPr="00AB2593">
        <w:t xml:space="preserve">, in accordance with the provisions of art. </w:t>
      </w:r>
      <w:r w:rsidR="009D4FDF">
        <w:t>107</w:t>
      </w:r>
      <w:r w:rsidRPr="00AB2593">
        <w:t xml:space="preserve"> of Law 24/2017 on issuers of financial instruments and market operations, </w:t>
      </w:r>
      <w:r>
        <w:t>as subsequently amended and supplemented</w:t>
      </w:r>
      <w:r w:rsidRPr="00AB25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EAA6" w14:textId="77777777" w:rsidR="007C26B9" w:rsidRPr="0045636F" w:rsidRDefault="007C26B9" w:rsidP="007C26B9">
    <w:pPr>
      <w:pStyle w:val="Header"/>
    </w:pPr>
    <w:r w:rsidRPr="0045636F">
      <w:rPr>
        <w:noProof/>
      </w:rPr>
      <w:drawing>
        <wp:anchor distT="0" distB="0" distL="114300" distR="114300" simplePos="0" relativeHeight="251659264" behindDoc="1" locked="0" layoutInCell="1" allowOverlap="1" wp14:anchorId="5A2A5DC4" wp14:editId="265C1AEC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25" name="Picture 2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5636F">
      <w:t>Agroserv</w:t>
    </w:r>
    <w:proofErr w:type="spellEnd"/>
    <w:r w:rsidRPr="0045636F">
      <w:t xml:space="preserve"> </w:t>
    </w:r>
    <w:proofErr w:type="spellStart"/>
    <w:r w:rsidRPr="0045636F">
      <w:t>Mariuța</w:t>
    </w:r>
    <w:proofErr w:type="spellEnd"/>
    <w:r w:rsidRPr="0045636F">
      <w:t xml:space="preserve"> S</w:t>
    </w:r>
    <w:r>
      <w:t>.</w:t>
    </w:r>
    <w:r w:rsidRPr="0045636F">
      <w:t>A</w:t>
    </w:r>
    <w:r>
      <w:t>.</w:t>
    </w:r>
  </w:p>
  <w:p w14:paraId="1A0CA90A" w14:textId="77777777" w:rsidR="007C26B9" w:rsidRPr="0045636F" w:rsidRDefault="007C26B9" w:rsidP="007C26B9">
    <w:pPr>
      <w:pStyle w:val="Header"/>
    </w:pPr>
    <w:proofErr w:type="spellStart"/>
    <w:r w:rsidRPr="0045636F">
      <w:t>Ferma</w:t>
    </w:r>
    <w:proofErr w:type="spellEnd"/>
    <w:r w:rsidRPr="0045636F">
      <w:t xml:space="preserve"> </w:t>
    </w:r>
    <w:proofErr w:type="spellStart"/>
    <w:r w:rsidRPr="0045636F">
      <w:t>Zootehnica</w:t>
    </w:r>
    <w:proofErr w:type="spellEnd"/>
    <w:r w:rsidRPr="0045636F">
      <w:t xml:space="preserve"> </w:t>
    </w:r>
  </w:p>
  <w:p w14:paraId="72BDAA17" w14:textId="77777777" w:rsidR="007C26B9" w:rsidRPr="0045636F" w:rsidRDefault="007C26B9" w:rsidP="007C26B9">
    <w:pPr>
      <w:pStyle w:val="Header"/>
    </w:pPr>
    <w:proofErr w:type="spellStart"/>
    <w:r w:rsidRPr="0045636F">
      <w:t>Dragoești</w:t>
    </w:r>
    <w:proofErr w:type="spellEnd"/>
    <w:r w:rsidRPr="0045636F">
      <w:t xml:space="preserve"> 927100, </w:t>
    </w:r>
    <w:proofErr w:type="spellStart"/>
    <w:r w:rsidRPr="0045636F">
      <w:t>Ialomița</w:t>
    </w:r>
    <w:proofErr w:type="spellEnd"/>
  </w:p>
  <w:p w14:paraId="71331CCE" w14:textId="77777777" w:rsidR="007C26B9" w:rsidRPr="0045636F" w:rsidRDefault="007C26B9" w:rsidP="007C26B9">
    <w:pPr>
      <w:pStyle w:val="Header"/>
    </w:pPr>
    <w:hyperlink r:id="rId2" w:history="1">
      <w:r w:rsidRPr="0045636F">
        <w:rPr>
          <w:rStyle w:val="Hyperlink"/>
        </w:rPr>
        <w:t>www.laptariacucaimac.ro</w:t>
      </w:r>
    </w:hyperlink>
  </w:p>
  <w:p w14:paraId="366FA82A" w14:textId="77777777" w:rsidR="006904AE" w:rsidRDefault="006904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E3A"/>
    <w:multiLevelType w:val="multilevel"/>
    <w:tmpl w:val="AEBCD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70263"/>
    <w:multiLevelType w:val="multilevel"/>
    <w:tmpl w:val="9F66BA7E"/>
    <w:lvl w:ilvl="0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D2E"/>
    <w:multiLevelType w:val="multilevel"/>
    <w:tmpl w:val="BBE83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0A781E"/>
    <w:multiLevelType w:val="multilevel"/>
    <w:tmpl w:val="F36C195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3773F90"/>
    <w:multiLevelType w:val="multilevel"/>
    <w:tmpl w:val="557E4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BB10BA"/>
    <w:multiLevelType w:val="multilevel"/>
    <w:tmpl w:val="AA342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F2744B"/>
    <w:multiLevelType w:val="multilevel"/>
    <w:tmpl w:val="4E28B80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D27916"/>
    <w:multiLevelType w:val="hybridMultilevel"/>
    <w:tmpl w:val="2F24D2AC"/>
    <w:lvl w:ilvl="0" w:tplc="AF921D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BE3"/>
    <w:multiLevelType w:val="multilevel"/>
    <w:tmpl w:val="55DE95FA"/>
    <w:lvl w:ilvl="0">
      <w:start w:val="1"/>
      <w:numFmt w:val="decimal"/>
      <w:lvlText w:val="(%1)"/>
      <w:lvlJc w:val="left"/>
      <w:pPr>
        <w:ind w:left="735" w:hanging="375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6601"/>
    <w:multiLevelType w:val="multilevel"/>
    <w:tmpl w:val="E74AB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CA3914"/>
    <w:multiLevelType w:val="multilevel"/>
    <w:tmpl w:val="EF006AF6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16A6"/>
    <w:multiLevelType w:val="multilevel"/>
    <w:tmpl w:val="273A5B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B49A6"/>
    <w:multiLevelType w:val="hybridMultilevel"/>
    <w:tmpl w:val="5B6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365D"/>
    <w:multiLevelType w:val="multilevel"/>
    <w:tmpl w:val="AE686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B21E1"/>
    <w:multiLevelType w:val="multilevel"/>
    <w:tmpl w:val="F0D0F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769C0065"/>
    <w:multiLevelType w:val="multilevel"/>
    <w:tmpl w:val="942E57EA"/>
    <w:lvl w:ilvl="0">
      <w:start w:val="1"/>
      <w:numFmt w:val="decimal"/>
      <w:pStyle w:val="bullet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134720"/>
    <w:multiLevelType w:val="multilevel"/>
    <w:tmpl w:val="92E4C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42"/>
    <w:rsid w:val="00052FA9"/>
    <w:rsid w:val="000831B3"/>
    <w:rsid w:val="000D553A"/>
    <w:rsid w:val="000F28AF"/>
    <w:rsid w:val="00147442"/>
    <w:rsid w:val="001C33A7"/>
    <w:rsid w:val="002D7C82"/>
    <w:rsid w:val="003B5B12"/>
    <w:rsid w:val="004D10CA"/>
    <w:rsid w:val="005B5472"/>
    <w:rsid w:val="005D1722"/>
    <w:rsid w:val="005D4240"/>
    <w:rsid w:val="0062649F"/>
    <w:rsid w:val="006904AE"/>
    <w:rsid w:val="00710948"/>
    <w:rsid w:val="007C26B9"/>
    <w:rsid w:val="008437EB"/>
    <w:rsid w:val="0088073D"/>
    <w:rsid w:val="009D4FDF"/>
    <w:rsid w:val="00A762C4"/>
    <w:rsid w:val="00AA00CA"/>
    <w:rsid w:val="00B93EBB"/>
    <w:rsid w:val="00C55832"/>
    <w:rsid w:val="00D01345"/>
    <w:rsid w:val="00D65B49"/>
    <w:rsid w:val="00D87588"/>
    <w:rsid w:val="00F13755"/>
    <w:rsid w:val="00F20918"/>
    <w:rsid w:val="00F9643A"/>
    <w:rsid w:val="00FC31B0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E18E"/>
  <w15:docId w15:val="{B1212CB6-1F80-4CA0-AA03-F0B3D45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45F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49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252" w:lineRule="exact"/>
      <w:ind w:hanging="144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E5230"/>
    <w:rPr>
      <w:rFonts w:ascii="Arial" w:hAnsi="Arial" w:cs="Arial"/>
      <w:sz w:val="22"/>
      <w:szCs w:val="22"/>
    </w:rPr>
  </w:style>
  <w:style w:type="character" w:customStyle="1" w:styleId="StyleTextContractBoldChar">
    <w:name w:val="Style Text Contract + Bold Char"/>
    <w:rsid w:val="001E5230"/>
    <w:rPr>
      <w:rFonts w:ascii="Arial" w:hAnsi="Arial" w:cs="Arial"/>
      <w:b/>
      <w:bCs/>
      <w:sz w:val="22"/>
      <w:lang w:val="ro-RO" w:bidi="ar-SA"/>
    </w:rPr>
  </w:style>
  <w:style w:type="character" w:customStyle="1" w:styleId="longtext">
    <w:name w:val="long_text"/>
    <w:basedOn w:val="DefaultParagraphFont"/>
    <w:uiPriority w:val="99"/>
    <w:rsid w:val="001E5230"/>
  </w:style>
  <w:style w:type="paragraph" w:customStyle="1" w:styleId="Normal1">
    <w:name w:val="Normal1"/>
    <w:rsid w:val="0020770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A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5F"/>
  </w:style>
  <w:style w:type="paragraph" w:styleId="Footer">
    <w:name w:val="footer"/>
    <w:basedOn w:val="Normal"/>
    <w:link w:val="FooterChar"/>
    <w:uiPriority w:val="99"/>
    <w:unhideWhenUsed/>
    <w:rsid w:val="004A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5F"/>
  </w:style>
  <w:style w:type="paragraph" w:customStyle="1" w:styleId="bullet-">
    <w:name w:val="bullet -"/>
    <w:basedOn w:val="Normal"/>
    <w:uiPriority w:val="99"/>
    <w:rsid w:val="00AA569B"/>
    <w:pPr>
      <w:numPr>
        <w:numId w:val="15"/>
      </w:numPr>
      <w:spacing w:after="40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6D4E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109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cUYY36IC2eMi1sKyPcAX0wNog==">AMUW2mV0Yklg3PC84kx3akn8qb42+v0M217RbTKUcoyRSW6+H01eXVuQDNnQTNRV7UVFUOnpP9k08r/mnzcGIMUghFDgCdzR7H9VXvGxpsuHDLnUA1fdXjc=</go:docsCustomData>
</go:gDocsCustomXmlDataStorage>
</file>

<file path=customXml/itemProps1.xml><?xml version="1.0" encoding="utf-8"?>
<ds:datastoreItem xmlns:ds="http://schemas.openxmlformats.org/officeDocument/2006/customXml" ds:itemID="{0585F326-945E-4836-AEBE-50D3700E2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Horia Radulescu</cp:lastModifiedBy>
  <cp:revision>9</cp:revision>
  <dcterms:created xsi:type="dcterms:W3CDTF">2022-03-08T07:42:00Z</dcterms:created>
  <dcterms:modified xsi:type="dcterms:W3CDTF">2022-03-21T10:53:00Z</dcterms:modified>
</cp:coreProperties>
</file>