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C3E8" w14:textId="77777777" w:rsidR="00991A6F" w:rsidRPr="00F732FA" w:rsidRDefault="00710948" w:rsidP="00991A6F">
      <w:pPr>
        <w:spacing w:before="120" w:after="120" w:line="240" w:lineRule="exact"/>
        <w:jc w:val="center"/>
        <w:rPr>
          <w:rFonts w:ascii="Helvetica Neue" w:hAnsi="Helvetica Neue"/>
          <w:b/>
          <w:bCs/>
          <w:sz w:val="20"/>
          <w:szCs w:val="20"/>
          <w:lang w:val="ro-RO"/>
        </w:rPr>
      </w:pPr>
      <w:r w:rsidRPr="00F732FA">
        <w:rPr>
          <w:rFonts w:ascii="Helvetica Neue" w:hAnsi="Helvetica Neue"/>
          <w:b/>
          <w:bCs/>
          <w:sz w:val="20"/>
          <w:szCs w:val="20"/>
          <w:lang w:val="ro-RO"/>
        </w:rPr>
        <w:t xml:space="preserve">Raportul anual de remunerare a conducătorilor societății </w:t>
      </w:r>
    </w:p>
    <w:p w14:paraId="29ED4260" w14:textId="67D0E3D7" w:rsidR="00710948" w:rsidRPr="00F732FA" w:rsidRDefault="00991A6F" w:rsidP="00991A6F">
      <w:pPr>
        <w:spacing w:before="120" w:after="120" w:line="240" w:lineRule="exact"/>
        <w:jc w:val="center"/>
        <w:rPr>
          <w:rFonts w:ascii="Helvetica Neue" w:hAnsi="Helvetica Neue"/>
          <w:b/>
          <w:bCs/>
          <w:sz w:val="20"/>
          <w:szCs w:val="20"/>
          <w:lang w:val="ro-RO"/>
        </w:rPr>
      </w:pPr>
      <w:r w:rsidRPr="00F732FA">
        <w:rPr>
          <w:rFonts w:ascii="Helvetica Neue" w:hAnsi="Helvetica Neue" w:cstheme="minorHAnsi"/>
          <w:b/>
          <w:sz w:val="20"/>
          <w:szCs w:val="20"/>
          <w:lang w:val="ro-RO"/>
        </w:rPr>
        <w:t>Agroserv M</w:t>
      </w:r>
      <w:r w:rsidRPr="00F732FA">
        <w:rPr>
          <w:rFonts w:ascii="Helvetica Neue" w:hAnsi="Helvetica Neue" w:cstheme="minorHAnsi"/>
          <w:b/>
          <w:sz w:val="20"/>
          <w:szCs w:val="20"/>
          <w:lang w:val="ro-RO"/>
        </w:rPr>
        <w:t>ă</w:t>
      </w:r>
      <w:r w:rsidRPr="00F732FA">
        <w:rPr>
          <w:rFonts w:ascii="Helvetica Neue" w:hAnsi="Helvetica Neue" w:cstheme="minorHAnsi"/>
          <w:b/>
          <w:sz w:val="20"/>
          <w:szCs w:val="20"/>
          <w:lang w:val="ro-RO"/>
        </w:rPr>
        <w:t>riu</w:t>
      </w:r>
      <w:r w:rsidRPr="00F732FA">
        <w:rPr>
          <w:rFonts w:ascii="Helvetica Neue" w:hAnsi="Helvetica Neue" w:cstheme="minorHAnsi"/>
          <w:b/>
          <w:sz w:val="20"/>
          <w:szCs w:val="20"/>
          <w:lang w:val="ro-RO"/>
        </w:rPr>
        <w:t>ț</w:t>
      </w:r>
      <w:r w:rsidRPr="00F732FA">
        <w:rPr>
          <w:rFonts w:ascii="Helvetica Neue" w:hAnsi="Helvetica Neue" w:cstheme="minorHAnsi"/>
          <w:b/>
          <w:sz w:val="20"/>
          <w:szCs w:val="20"/>
          <w:lang w:val="ro-RO"/>
        </w:rPr>
        <w:t xml:space="preserve">a S.A. </w:t>
      </w:r>
      <w:r w:rsidRPr="00F732FA">
        <w:rPr>
          <w:rFonts w:ascii="Helvetica Neue" w:hAnsi="Helvetica Neue"/>
          <w:b/>
          <w:bCs/>
          <w:sz w:val="20"/>
          <w:szCs w:val="20"/>
          <w:lang w:val="ro-RO"/>
        </w:rPr>
        <w:t xml:space="preserve"> </w:t>
      </w:r>
    </w:p>
    <w:p w14:paraId="0E18172C" w14:textId="77777777" w:rsidR="00710948" w:rsidRPr="00F732FA" w:rsidRDefault="00710948" w:rsidP="00710948">
      <w:pPr>
        <w:spacing w:before="120" w:after="120" w:line="240" w:lineRule="exact"/>
        <w:jc w:val="center"/>
        <w:rPr>
          <w:rFonts w:ascii="Helvetica Neue" w:hAnsi="Helvetica Neue"/>
          <w:b/>
          <w:bCs/>
          <w:sz w:val="20"/>
          <w:szCs w:val="20"/>
          <w:lang w:val="ro-RO"/>
        </w:rPr>
      </w:pPr>
      <w:r w:rsidRPr="00F732FA">
        <w:rPr>
          <w:rFonts w:ascii="Helvetica Neue" w:hAnsi="Helvetica Neue"/>
          <w:b/>
          <w:bCs/>
          <w:sz w:val="20"/>
          <w:szCs w:val="20"/>
          <w:lang w:val="ro-RO"/>
        </w:rPr>
        <w:t>(„Societatea”)</w:t>
      </w:r>
    </w:p>
    <w:p w14:paraId="53FA6CC1" w14:textId="4FB79EE0" w:rsidR="00710948" w:rsidRPr="00F732FA" w:rsidRDefault="00991A6F" w:rsidP="00710948">
      <w:pPr>
        <w:spacing w:before="120" w:after="120" w:line="240" w:lineRule="exact"/>
        <w:jc w:val="both"/>
        <w:rPr>
          <w:rFonts w:ascii="Helvetica Neue" w:hAnsi="Helvetica Neue"/>
          <w:sz w:val="20"/>
          <w:szCs w:val="20"/>
          <w:lang w:val="ro-RO"/>
        </w:rPr>
      </w:pPr>
      <w:r w:rsidRPr="00F732FA">
        <w:rPr>
          <w:rFonts w:ascii="Helvetica Neue" w:hAnsi="Helvetica Neue"/>
          <w:sz w:val="20"/>
          <w:szCs w:val="20"/>
          <w:lang w:val="ro-RO"/>
        </w:rPr>
        <w:t>Consiliul de Administrație</w:t>
      </w:r>
      <w:r w:rsidR="00710948" w:rsidRPr="00F732FA">
        <w:rPr>
          <w:rFonts w:ascii="Helvetica Neue" w:hAnsi="Helvetica Neue"/>
          <w:sz w:val="20"/>
          <w:szCs w:val="20"/>
          <w:lang w:val="ro-RO"/>
        </w:rPr>
        <w:t xml:space="preserve"> al Societății a elaborat prezentul raport anual de remunerare („</w:t>
      </w:r>
      <w:r w:rsidR="00710948" w:rsidRPr="00F732FA">
        <w:rPr>
          <w:rFonts w:ascii="Helvetica Neue" w:hAnsi="Helvetica Neue"/>
          <w:b/>
          <w:bCs/>
          <w:sz w:val="20"/>
          <w:szCs w:val="20"/>
          <w:lang w:val="ro-RO"/>
        </w:rPr>
        <w:t>Raportul de Remunerare</w:t>
      </w:r>
      <w:r w:rsidR="00710948" w:rsidRPr="00F732FA">
        <w:rPr>
          <w:rFonts w:ascii="Helvetica Neue" w:hAnsi="Helvetica Neue"/>
          <w:sz w:val="20"/>
          <w:szCs w:val="20"/>
          <w:lang w:val="ro-RO"/>
        </w:rPr>
        <w:t xml:space="preserve">”) care cuprinde remunerațiile și alte avantaje acordate </w:t>
      </w:r>
      <w:r w:rsidRPr="00F732FA">
        <w:rPr>
          <w:rFonts w:ascii="Helvetica Neue" w:hAnsi="Helvetica Neue"/>
          <w:sz w:val="20"/>
          <w:szCs w:val="20"/>
          <w:lang w:val="ro-RO"/>
        </w:rPr>
        <w:t>Administratorului Unic al</w:t>
      </w:r>
      <w:r w:rsidR="00710948" w:rsidRPr="00F732FA">
        <w:rPr>
          <w:rFonts w:ascii="Helvetica Neue" w:hAnsi="Helvetica Neue"/>
          <w:sz w:val="20"/>
          <w:szCs w:val="20"/>
          <w:lang w:val="ro-RO"/>
        </w:rPr>
        <w:t xml:space="preserve"> Societății în cursul anului financiar încheiat la 31 decembrie 202</w:t>
      </w:r>
      <w:r w:rsidR="002D7C82" w:rsidRPr="00F732FA">
        <w:rPr>
          <w:rFonts w:ascii="Helvetica Neue" w:hAnsi="Helvetica Neue"/>
          <w:sz w:val="20"/>
          <w:szCs w:val="20"/>
          <w:lang w:val="ro-RO"/>
        </w:rPr>
        <w:t>1</w:t>
      </w:r>
      <w:r w:rsidR="00710948" w:rsidRPr="00F732FA">
        <w:rPr>
          <w:rFonts w:ascii="Helvetica Neue" w:hAnsi="Helvetica Neue"/>
          <w:sz w:val="20"/>
          <w:szCs w:val="20"/>
          <w:lang w:val="ro-RO"/>
        </w:rPr>
        <w:t>.</w:t>
      </w:r>
    </w:p>
    <w:p w14:paraId="10980F18" w14:textId="0AF3B7B5" w:rsidR="00710948" w:rsidRPr="00F732FA" w:rsidRDefault="00710948" w:rsidP="00710948">
      <w:pPr>
        <w:spacing w:before="120" w:after="120" w:line="240" w:lineRule="exact"/>
        <w:jc w:val="both"/>
        <w:rPr>
          <w:rFonts w:ascii="Helvetica Neue" w:hAnsi="Helvetica Neue"/>
          <w:sz w:val="20"/>
          <w:szCs w:val="20"/>
          <w:lang w:val="ro-RO"/>
        </w:rPr>
      </w:pPr>
      <w:r w:rsidRPr="00F732FA">
        <w:rPr>
          <w:rFonts w:ascii="Helvetica Neue" w:hAnsi="Helvetica Neue"/>
          <w:sz w:val="20"/>
          <w:szCs w:val="20"/>
          <w:lang w:val="ro-RO"/>
        </w:rPr>
        <w:t>Raportul de Remunerare va fi supus votului</w:t>
      </w:r>
      <w:r w:rsidR="00401EDB" w:rsidRPr="00F732FA">
        <w:rPr>
          <w:rFonts w:ascii="Helvetica Neue" w:hAnsi="Helvetica Neue"/>
          <w:sz w:val="20"/>
          <w:szCs w:val="20"/>
          <w:lang w:val="ro-RO"/>
        </w:rPr>
        <w:t xml:space="preserve"> consultativ al</w:t>
      </w:r>
      <w:r w:rsidRPr="00F732FA">
        <w:rPr>
          <w:rFonts w:ascii="Helvetica Neue" w:hAnsi="Helvetica Neue"/>
          <w:sz w:val="20"/>
          <w:szCs w:val="20"/>
          <w:lang w:val="ro-RO"/>
        </w:rPr>
        <w:t xml:space="preserve"> adunării generale ordinare a acționarilor Societății („</w:t>
      </w:r>
      <w:r w:rsidRPr="00F732FA">
        <w:rPr>
          <w:rFonts w:ascii="Helvetica Neue" w:hAnsi="Helvetica Neue"/>
          <w:b/>
          <w:bCs/>
          <w:sz w:val="20"/>
          <w:szCs w:val="20"/>
          <w:lang w:val="ro-RO"/>
        </w:rPr>
        <w:t>AGOA</w:t>
      </w:r>
      <w:r w:rsidRPr="00F732FA">
        <w:rPr>
          <w:rFonts w:ascii="Helvetica Neue" w:hAnsi="Helvetica Neue"/>
          <w:sz w:val="20"/>
          <w:szCs w:val="20"/>
          <w:lang w:val="ro-RO"/>
        </w:rPr>
        <w:t xml:space="preserve">“) din data de </w:t>
      </w:r>
      <w:r w:rsidR="00991A6F" w:rsidRPr="00F732FA">
        <w:rPr>
          <w:rFonts w:ascii="Helvetica Neue" w:hAnsi="Helvetica Neue"/>
          <w:sz w:val="20"/>
          <w:szCs w:val="20"/>
          <w:lang w:val="ro-RO"/>
        </w:rPr>
        <w:t>21</w:t>
      </w:r>
      <w:r w:rsidRPr="00F732FA">
        <w:rPr>
          <w:rFonts w:ascii="Helvetica Neue" w:hAnsi="Helvetica Neue"/>
          <w:sz w:val="20"/>
          <w:szCs w:val="20"/>
          <w:lang w:val="ro-RO"/>
        </w:rPr>
        <w:t>/</w:t>
      </w:r>
      <w:r w:rsidR="00991A6F" w:rsidRPr="00F732FA">
        <w:rPr>
          <w:rFonts w:ascii="Helvetica Neue" w:hAnsi="Helvetica Neue"/>
          <w:sz w:val="20"/>
          <w:szCs w:val="20"/>
          <w:lang w:val="ro-RO"/>
        </w:rPr>
        <w:t>26</w:t>
      </w:r>
      <w:r w:rsidRPr="00F732FA">
        <w:rPr>
          <w:rFonts w:ascii="Helvetica Neue" w:hAnsi="Helvetica Neue"/>
          <w:sz w:val="20"/>
          <w:szCs w:val="20"/>
          <w:lang w:val="ro-RO"/>
        </w:rPr>
        <w:t xml:space="preserve"> aprilie 202</w:t>
      </w:r>
      <w:r w:rsidR="002D7C82" w:rsidRPr="00F732FA">
        <w:rPr>
          <w:rFonts w:ascii="Helvetica Neue" w:hAnsi="Helvetica Neue"/>
          <w:sz w:val="20"/>
          <w:szCs w:val="20"/>
          <w:lang w:val="ro-RO"/>
        </w:rPr>
        <w:t>2</w:t>
      </w:r>
      <w:r w:rsidRPr="00F732FA">
        <w:rPr>
          <w:rFonts w:ascii="Helvetica Neue" w:hAnsi="Helvetica Neue"/>
          <w:sz w:val="20"/>
          <w:szCs w:val="20"/>
          <w:lang w:val="ro-RO"/>
        </w:rPr>
        <w:t>, va fi publicat pe website-</w:t>
      </w:r>
      <w:proofErr w:type="spellStart"/>
      <w:r w:rsidRPr="00F732FA">
        <w:rPr>
          <w:rFonts w:ascii="Helvetica Neue" w:hAnsi="Helvetica Neue"/>
          <w:sz w:val="20"/>
          <w:szCs w:val="20"/>
          <w:lang w:val="ro-RO"/>
        </w:rPr>
        <w:t>ul</w:t>
      </w:r>
      <w:proofErr w:type="spellEnd"/>
      <w:r w:rsidRPr="00F732FA">
        <w:rPr>
          <w:rFonts w:ascii="Helvetica Neue" w:hAnsi="Helvetica Neue"/>
          <w:sz w:val="20"/>
          <w:szCs w:val="20"/>
          <w:lang w:val="ro-RO"/>
        </w:rPr>
        <w:t xml:space="preserve"> Societății la </w:t>
      </w:r>
      <w:hyperlink r:id="rId9" w:history="1">
        <w:r w:rsidR="00F732FA" w:rsidRPr="00F732FA">
          <w:rPr>
            <w:rStyle w:val="Hyperlink"/>
            <w:rFonts w:ascii="Helvetica Neue" w:hAnsi="Helvetica Neue"/>
            <w:sz w:val="20"/>
            <w:szCs w:val="20"/>
            <w:lang w:val="ro-RO"/>
          </w:rPr>
          <w:t>www.lap</w:t>
        </w:r>
        <w:r w:rsidR="00F732FA" w:rsidRPr="00F732FA">
          <w:rPr>
            <w:rStyle w:val="Hyperlink"/>
            <w:rFonts w:ascii="Helvetica Neue" w:hAnsi="Helvetica Neue"/>
            <w:sz w:val="20"/>
            <w:szCs w:val="20"/>
            <w:lang w:val="ro-RO"/>
          </w:rPr>
          <w:t>t</w:t>
        </w:r>
        <w:r w:rsidR="00F732FA" w:rsidRPr="00F732FA">
          <w:rPr>
            <w:rStyle w:val="Hyperlink"/>
            <w:rFonts w:ascii="Helvetica Neue" w:hAnsi="Helvetica Neue"/>
            <w:sz w:val="20"/>
            <w:szCs w:val="20"/>
            <w:lang w:val="ro-RO"/>
          </w:rPr>
          <w:t>ariacucaimac.ro</w:t>
        </w:r>
      </w:hyperlink>
      <w:r w:rsidRPr="00F732FA">
        <w:rPr>
          <w:rFonts w:ascii="Helvetica Neue" w:hAnsi="Helvetica Neue"/>
          <w:sz w:val="20"/>
          <w:szCs w:val="20"/>
          <w:lang w:val="ro-RO"/>
        </w:rPr>
        <w:t xml:space="preserve"> și va rămâne la dispoziția publicului timp de 10 ani de la publicare, în conformitate cu prevederile legale aplicabile.</w:t>
      </w:r>
    </w:p>
    <w:p w14:paraId="63478361" w14:textId="3EB53713" w:rsidR="004D10CA" w:rsidRPr="00F732FA" w:rsidRDefault="00710948" w:rsidP="003B5B12">
      <w:pPr>
        <w:spacing w:before="120" w:after="120" w:line="240" w:lineRule="exact"/>
        <w:jc w:val="both"/>
        <w:rPr>
          <w:rFonts w:ascii="Helvetica Neue" w:hAnsi="Helvetica Neue"/>
          <w:sz w:val="20"/>
          <w:szCs w:val="20"/>
          <w:lang w:val="ro-RO"/>
        </w:rPr>
      </w:pPr>
      <w:r w:rsidRPr="00F732FA">
        <w:rPr>
          <w:rFonts w:ascii="Helvetica Neue" w:hAnsi="Helvetica Neue"/>
          <w:sz w:val="20"/>
          <w:szCs w:val="20"/>
          <w:lang w:val="ro-RO"/>
        </w:rPr>
        <w:t xml:space="preserve">Raportul de Remunerare oferă o imagine de ansamblu a remunerațiilor, inclusiv a tuturor beneficiilor, indiferent de formă, acordate sau datorate pe parcursul ultimului exercițiu financiar, </w:t>
      </w:r>
      <w:r w:rsidR="00F732FA" w:rsidRPr="00F732FA">
        <w:rPr>
          <w:rFonts w:ascii="Helvetica Neue" w:hAnsi="Helvetica Neue"/>
          <w:sz w:val="20"/>
          <w:szCs w:val="20"/>
          <w:lang w:val="ro-RO"/>
        </w:rPr>
        <w:t>administratorului unic</w:t>
      </w:r>
      <w:r w:rsidRPr="00F732FA">
        <w:rPr>
          <w:rFonts w:ascii="Helvetica Neue" w:hAnsi="Helvetica Neue"/>
          <w:sz w:val="20"/>
          <w:szCs w:val="20"/>
          <w:lang w:val="ro-RO"/>
        </w:rPr>
        <w:t xml:space="preserve"> în mod individual.</w:t>
      </w:r>
    </w:p>
    <w:p w14:paraId="50130B5C" w14:textId="36FB2068" w:rsidR="00710948" w:rsidRPr="00F732FA" w:rsidRDefault="00710948" w:rsidP="003B5B12">
      <w:pPr>
        <w:spacing w:before="120" w:after="120" w:line="240" w:lineRule="exact"/>
        <w:jc w:val="both"/>
        <w:rPr>
          <w:rFonts w:ascii="Helvetica Neue" w:hAnsi="Helvetica Neue"/>
          <w:b/>
          <w:bCs/>
          <w:sz w:val="20"/>
          <w:szCs w:val="20"/>
          <w:lang w:val="ro-RO"/>
        </w:rPr>
      </w:pPr>
      <w:r w:rsidRPr="00F732FA">
        <w:rPr>
          <w:rFonts w:ascii="Helvetica Neue" w:hAnsi="Helvetica Neue"/>
          <w:b/>
          <w:bCs/>
          <w:sz w:val="20"/>
          <w:szCs w:val="20"/>
          <w:lang w:val="ro-RO"/>
        </w:rPr>
        <w:t>Structura remunerației conducătorilor Societății pentru anul 202</w:t>
      </w:r>
      <w:r w:rsidR="00A762C4" w:rsidRPr="00F732FA">
        <w:rPr>
          <w:rFonts w:ascii="Helvetica Neue" w:hAnsi="Helvetica Neue"/>
          <w:b/>
          <w:bCs/>
          <w:sz w:val="20"/>
          <w:szCs w:val="20"/>
          <w:lang w:val="ro-RO"/>
        </w:rPr>
        <w:t>1</w:t>
      </w:r>
      <w:r w:rsidR="00FC31B0" w:rsidRPr="00F732FA">
        <w:rPr>
          <w:rStyle w:val="FootnoteReference"/>
          <w:rFonts w:ascii="Helvetica Neue" w:hAnsi="Helvetica Neue"/>
          <w:b/>
          <w:bCs/>
          <w:sz w:val="20"/>
          <w:szCs w:val="20"/>
          <w:lang w:val="ro-RO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529"/>
        <w:gridCol w:w="1926"/>
        <w:gridCol w:w="2525"/>
      </w:tblGrid>
      <w:tr w:rsidR="003B5B12" w:rsidRPr="00F732FA" w14:paraId="4172959A" w14:textId="72D32E40" w:rsidTr="00F732FA">
        <w:trPr>
          <w:trHeight w:val="1724"/>
        </w:trPr>
        <w:tc>
          <w:tcPr>
            <w:tcW w:w="1267" w:type="pct"/>
            <w:shd w:val="clear" w:color="auto" w:fill="auto"/>
          </w:tcPr>
          <w:p w14:paraId="0D44BC47" w14:textId="77777777" w:rsidR="003B5B12" w:rsidRPr="00F732FA" w:rsidRDefault="003B5B12" w:rsidP="00874082">
            <w:pPr>
              <w:jc w:val="both"/>
              <w:rPr>
                <w:rFonts w:ascii="Helvetica Neue" w:hAnsi="Helvetica Neue"/>
                <w:sz w:val="20"/>
                <w:szCs w:val="20"/>
                <w:lang w:val="ro-RO"/>
              </w:rPr>
            </w:pPr>
          </w:p>
        </w:tc>
        <w:tc>
          <w:tcPr>
            <w:tcW w:w="1352" w:type="pct"/>
            <w:shd w:val="clear" w:color="auto" w:fill="auto"/>
          </w:tcPr>
          <w:p w14:paraId="20F7BAB9" w14:textId="77777777" w:rsidR="003B5B12" w:rsidRPr="00F732FA" w:rsidRDefault="003B5B12" w:rsidP="00874082">
            <w:pPr>
              <w:jc w:val="both"/>
              <w:rPr>
                <w:rFonts w:ascii="Helvetica Neue" w:hAnsi="Helvetica Neue"/>
                <w:b/>
                <w:bCs/>
                <w:sz w:val="20"/>
                <w:szCs w:val="20"/>
                <w:lang w:val="ro-RO"/>
              </w:rPr>
            </w:pPr>
            <w:r w:rsidRPr="00F732FA">
              <w:rPr>
                <w:rFonts w:ascii="Helvetica Neue" w:hAnsi="Helvetica Neue"/>
                <w:b/>
                <w:bCs/>
                <w:sz w:val="20"/>
                <w:szCs w:val="20"/>
                <w:lang w:val="ro-RO"/>
              </w:rPr>
              <w:t>Remunerația totală (defalcată pe componente)</w:t>
            </w:r>
          </w:p>
        </w:tc>
        <w:tc>
          <w:tcPr>
            <w:tcW w:w="1030" w:type="pct"/>
            <w:shd w:val="clear" w:color="auto" w:fill="auto"/>
          </w:tcPr>
          <w:p w14:paraId="48BE636A" w14:textId="77777777" w:rsidR="003B5B12" w:rsidRPr="00F732FA" w:rsidRDefault="003B5B12" w:rsidP="00874082">
            <w:pPr>
              <w:jc w:val="both"/>
              <w:rPr>
                <w:rFonts w:ascii="Helvetica Neue" w:hAnsi="Helvetica Neue"/>
                <w:b/>
                <w:bCs/>
                <w:sz w:val="20"/>
                <w:szCs w:val="20"/>
                <w:lang w:val="ro-RO"/>
              </w:rPr>
            </w:pPr>
            <w:r w:rsidRPr="00F732FA">
              <w:rPr>
                <w:rFonts w:ascii="Helvetica Neue" w:hAnsi="Helvetica Neue"/>
                <w:b/>
                <w:bCs/>
                <w:sz w:val="20"/>
                <w:szCs w:val="20"/>
                <w:lang w:val="ro-RO"/>
              </w:rPr>
              <w:t>Alte beneficii obținute</w:t>
            </w:r>
          </w:p>
        </w:tc>
        <w:tc>
          <w:tcPr>
            <w:tcW w:w="1350" w:type="pct"/>
            <w:shd w:val="clear" w:color="auto" w:fill="auto"/>
          </w:tcPr>
          <w:p w14:paraId="4AF8AF86" w14:textId="6EE8688A" w:rsidR="003B5B12" w:rsidRPr="00F732FA" w:rsidRDefault="003B5B12" w:rsidP="00874082">
            <w:pPr>
              <w:jc w:val="both"/>
              <w:rPr>
                <w:rFonts w:ascii="Helvetica Neue" w:hAnsi="Helvetica Neue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F732FA">
              <w:rPr>
                <w:rFonts w:ascii="Helvetica Neue" w:hAnsi="Helvetica Neue"/>
                <w:b/>
                <w:bCs/>
                <w:sz w:val="20"/>
                <w:szCs w:val="20"/>
                <w:lang w:val="ro-RO"/>
              </w:rPr>
              <w:t>Remuneraţie</w:t>
            </w:r>
            <w:proofErr w:type="spellEnd"/>
            <w:r w:rsidRPr="00F732FA">
              <w:rPr>
                <w:rFonts w:ascii="Helvetica Neue" w:hAnsi="Helvetica Neue"/>
                <w:b/>
                <w:bCs/>
                <w:sz w:val="20"/>
                <w:szCs w:val="20"/>
                <w:lang w:val="ro-RO"/>
              </w:rPr>
              <w:t xml:space="preserve"> primită de la orice entitate care </w:t>
            </w:r>
            <w:proofErr w:type="spellStart"/>
            <w:r w:rsidRPr="00F732FA">
              <w:rPr>
                <w:rFonts w:ascii="Helvetica Neue" w:hAnsi="Helvetica Neue"/>
                <w:b/>
                <w:bCs/>
                <w:sz w:val="20"/>
                <w:szCs w:val="20"/>
                <w:lang w:val="ro-RO"/>
              </w:rPr>
              <w:t>aparţine</w:t>
            </w:r>
            <w:proofErr w:type="spellEnd"/>
            <w:r w:rsidRPr="00F732FA">
              <w:rPr>
                <w:rFonts w:ascii="Helvetica Neue" w:hAnsi="Helvetica Neue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732FA">
              <w:rPr>
                <w:rFonts w:ascii="Helvetica Neue" w:hAnsi="Helvetica Neue"/>
                <w:b/>
                <w:bCs/>
                <w:sz w:val="20"/>
                <w:szCs w:val="20"/>
                <w:lang w:val="ro-RO"/>
              </w:rPr>
              <w:t>aceluiaşi</w:t>
            </w:r>
            <w:proofErr w:type="spellEnd"/>
            <w:r w:rsidRPr="00F732FA">
              <w:rPr>
                <w:rFonts w:ascii="Helvetica Neue" w:hAnsi="Helvetica Neue"/>
                <w:b/>
                <w:bCs/>
                <w:sz w:val="20"/>
                <w:szCs w:val="20"/>
                <w:lang w:val="ro-RO"/>
              </w:rPr>
              <w:t xml:space="preserve"> grup </w:t>
            </w:r>
          </w:p>
        </w:tc>
      </w:tr>
      <w:tr w:rsidR="003B5B12" w:rsidRPr="00F732FA" w14:paraId="69814514" w14:textId="2EC1957B" w:rsidTr="003B5B12">
        <w:tc>
          <w:tcPr>
            <w:tcW w:w="1267" w:type="pct"/>
            <w:shd w:val="clear" w:color="auto" w:fill="auto"/>
          </w:tcPr>
          <w:p w14:paraId="63E1FA54" w14:textId="6935F3C3" w:rsidR="003B5B12" w:rsidRPr="00F732FA" w:rsidRDefault="00F732FA" w:rsidP="00874082">
            <w:pPr>
              <w:jc w:val="both"/>
              <w:rPr>
                <w:rFonts w:ascii="Helvetica Neue" w:hAnsi="Helvetica Neue"/>
                <w:sz w:val="20"/>
                <w:szCs w:val="20"/>
                <w:lang w:val="ro-RO"/>
              </w:rPr>
            </w:pPr>
            <w:r w:rsidRPr="00F732FA">
              <w:rPr>
                <w:rFonts w:ascii="Helvetica Neue" w:hAnsi="Helvetica Neue" w:cstheme="minorHAnsi"/>
                <w:sz w:val="20"/>
                <w:szCs w:val="20"/>
                <w:lang w:val="ro-RO"/>
              </w:rPr>
              <w:t>Ș</w:t>
            </w:r>
            <w:r w:rsidRPr="00F732FA">
              <w:rPr>
                <w:rFonts w:ascii="Helvetica Neue" w:hAnsi="Helvetica Neue" w:cstheme="minorHAnsi"/>
                <w:sz w:val="20"/>
                <w:szCs w:val="20"/>
                <w:lang w:val="ro-RO"/>
              </w:rPr>
              <w:t>ERBAN NICU</w:t>
            </w:r>
            <w:r>
              <w:rPr>
                <w:rFonts w:ascii="Helvetica Neue" w:hAnsi="Helvetica Neue" w:cstheme="minorHAnsi"/>
                <w:sz w:val="20"/>
                <w:szCs w:val="20"/>
                <w:lang w:val="ro-RO"/>
              </w:rPr>
              <w:t>Ș</w:t>
            </w:r>
            <w:r w:rsidRPr="00F732FA">
              <w:rPr>
                <w:rFonts w:ascii="Helvetica Neue" w:hAnsi="Helvetica Neue" w:cstheme="minorHAnsi"/>
                <w:sz w:val="20"/>
                <w:szCs w:val="20"/>
                <w:lang w:val="ro-RO"/>
              </w:rPr>
              <w:t>OR</w:t>
            </w:r>
            <w:r w:rsidRPr="00F732FA">
              <w:rPr>
                <w:rFonts w:ascii="Helvetica Neue" w:hAnsi="Helvetica Neue"/>
                <w:sz w:val="20"/>
                <w:szCs w:val="20"/>
                <w:lang w:val="ro-RO"/>
              </w:rPr>
              <w:t xml:space="preserve"> </w:t>
            </w:r>
            <w:r w:rsidR="003B5B12" w:rsidRPr="00F732FA">
              <w:rPr>
                <w:rFonts w:ascii="Helvetica Neue" w:hAnsi="Helvetica Neue"/>
                <w:sz w:val="20"/>
                <w:szCs w:val="20"/>
                <w:lang w:val="ro-RO"/>
              </w:rPr>
              <w:t>– administrator unic</w:t>
            </w:r>
          </w:p>
        </w:tc>
        <w:tc>
          <w:tcPr>
            <w:tcW w:w="1352" w:type="pct"/>
            <w:shd w:val="clear" w:color="auto" w:fill="auto"/>
          </w:tcPr>
          <w:p w14:paraId="23EF9410" w14:textId="13F472F0" w:rsidR="003B5B12" w:rsidRPr="00F732FA" w:rsidRDefault="00782837" w:rsidP="00A762C4">
            <w:pPr>
              <w:rPr>
                <w:rFonts w:ascii="Helvetica Neue" w:hAnsi="Helvetica Neue"/>
                <w:sz w:val="20"/>
                <w:szCs w:val="20"/>
                <w:lang w:val="ro-RO"/>
              </w:rPr>
            </w:pPr>
            <w:r w:rsidRPr="00F732FA">
              <w:rPr>
                <w:rFonts w:ascii="Helvetica Neue" w:hAnsi="Helvetica Neue"/>
                <w:sz w:val="20"/>
                <w:szCs w:val="20"/>
                <w:lang w:val="ro-RO"/>
              </w:rPr>
              <w:t xml:space="preserve">Remunerație </w:t>
            </w:r>
            <w:r w:rsidR="00F732FA" w:rsidRPr="00F732FA">
              <w:rPr>
                <w:rFonts w:ascii="Helvetica Neue" w:hAnsi="Helvetica Neue"/>
                <w:sz w:val="20"/>
                <w:szCs w:val="20"/>
                <w:lang w:val="ro-RO"/>
              </w:rPr>
              <w:t xml:space="preserve">anuală </w:t>
            </w:r>
            <w:r w:rsidRPr="00F732FA">
              <w:rPr>
                <w:rFonts w:ascii="Helvetica Neue" w:hAnsi="Helvetica Neue"/>
                <w:sz w:val="20"/>
                <w:szCs w:val="20"/>
                <w:lang w:val="ro-RO"/>
              </w:rPr>
              <w:t xml:space="preserve">brută în valoare de </w:t>
            </w:r>
            <w:r w:rsidR="00F732FA" w:rsidRPr="00F732FA">
              <w:rPr>
                <w:rFonts w:ascii="Helvetica Neue" w:eastAsia="Arial" w:hAnsi="Helvetica Neue" w:cs="Arial"/>
                <w:sz w:val="20"/>
                <w:szCs w:val="20"/>
                <w:lang w:val="ro-RO"/>
              </w:rPr>
              <w:t>257</w:t>
            </w:r>
            <w:r w:rsidR="00F732FA" w:rsidRPr="00F732FA">
              <w:rPr>
                <w:rFonts w:ascii="Helvetica Neue" w:eastAsia="Arial" w:hAnsi="Helvetica Neue" w:cs="Arial"/>
                <w:sz w:val="20"/>
                <w:szCs w:val="20"/>
                <w:lang w:val="ro-RO"/>
              </w:rPr>
              <w:t>.</w:t>
            </w:r>
            <w:r w:rsidR="00F732FA" w:rsidRPr="00F732FA">
              <w:rPr>
                <w:rFonts w:ascii="Helvetica Neue" w:eastAsia="Arial" w:hAnsi="Helvetica Neue" w:cs="Arial"/>
                <w:sz w:val="20"/>
                <w:szCs w:val="20"/>
                <w:lang w:val="ro-RO"/>
              </w:rPr>
              <w:t>276</w:t>
            </w:r>
            <w:r w:rsidRPr="00F732FA">
              <w:rPr>
                <w:rFonts w:ascii="Helvetica Neue" w:hAnsi="Helvetica Neue"/>
                <w:sz w:val="20"/>
                <w:szCs w:val="20"/>
                <w:lang w:val="ro-RO"/>
              </w:rPr>
              <w:t xml:space="preserve"> RON</w:t>
            </w:r>
          </w:p>
        </w:tc>
        <w:tc>
          <w:tcPr>
            <w:tcW w:w="1030" w:type="pct"/>
            <w:shd w:val="clear" w:color="auto" w:fill="auto"/>
          </w:tcPr>
          <w:p w14:paraId="7FC7693A" w14:textId="7506B907" w:rsidR="003B5B12" w:rsidRPr="00F732FA" w:rsidRDefault="00F732FA" w:rsidP="00874082">
            <w:pPr>
              <w:jc w:val="both"/>
              <w:rPr>
                <w:rFonts w:ascii="Helvetica Neue" w:hAnsi="Helvetica Neue"/>
                <w:sz w:val="20"/>
                <w:szCs w:val="20"/>
                <w:lang w:val="ro-RO"/>
              </w:rPr>
            </w:pPr>
            <w:r w:rsidRPr="00F732FA">
              <w:rPr>
                <w:rFonts w:ascii="Helvetica Neue" w:hAnsi="Helvetica Neue"/>
                <w:sz w:val="20"/>
                <w:szCs w:val="20"/>
                <w:lang w:val="ro-RO"/>
              </w:rPr>
              <w:t>Asigurare de viață</w:t>
            </w:r>
          </w:p>
        </w:tc>
        <w:tc>
          <w:tcPr>
            <w:tcW w:w="1350" w:type="pct"/>
            <w:shd w:val="clear" w:color="auto" w:fill="auto"/>
          </w:tcPr>
          <w:p w14:paraId="201CD813" w14:textId="0ABE32A2" w:rsidR="003B5B12" w:rsidRPr="00F732FA" w:rsidRDefault="003B5B12" w:rsidP="00874082">
            <w:pPr>
              <w:jc w:val="both"/>
              <w:rPr>
                <w:rFonts w:ascii="Helvetica Neue" w:hAnsi="Helvetica Neue"/>
                <w:sz w:val="20"/>
                <w:szCs w:val="20"/>
                <w:lang w:val="ro-RO"/>
              </w:rPr>
            </w:pPr>
          </w:p>
          <w:p w14:paraId="0D9A0A13" w14:textId="77777777" w:rsidR="003B5B12" w:rsidRPr="00F732FA" w:rsidRDefault="003B5B12" w:rsidP="00874082">
            <w:pPr>
              <w:jc w:val="both"/>
              <w:rPr>
                <w:rFonts w:ascii="Helvetica Neue" w:hAnsi="Helvetica Neue"/>
                <w:sz w:val="20"/>
                <w:szCs w:val="20"/>
                <w:lang w:val="ro-RO"/>
              </w:rPr>
            </w:pPr>
          </w:p>
        </w:tc>
      </w:tr>
    </w:tbl>
    <w:p w14:paraId="1A136FE3" w14:textId="77777777" w:rsidR="00147442" w:rsidRPr="00F732FA" w:rsidRDefault="00147442" w:rsidP="003B5B12">
      <w:pPr>
        <w:rPr>
          <w:rFonts w:ascii="Helvetica Neue" w:hAnsi="Helvetica Neue"/>
          <w:sz w:val="20"/>
          <w:szCs w:val="20"/>
          <w:lang w:val="ro-RO"/>
        </w:rPr>
      </w:pPr>
    </w:p>
    <w:sectPr w:rsidR="00147442" w:rsidRPr="00F732FA" w:rsidSect="002D7C82">
      <w:headerReference w:type="default" r:id="rId10"/>
      <w:footerReference w:type="default" r:id="rId11"/>
      <w:pgSz w:w="12240" w:h="15840"/>
      <w:pgMar w:top="25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302D" w14:textId="77777777" w:rsidR="00C836CD" w:rsidRDefault="00C836CD">
      <w:pPr>
        <w:spacing w:after="0" w:line="240" w:lineRule="auto"/>
      </w:pPr>
      <w:r>
        <w:separator/>
      </w:r>
    </w:p>
  </w:endnote>
  <w:endnote w:type="continuationSeparator" w:id="0">
    <w:p w14:paraId="1017AE04" w14:textId="77777777" w:rsidR="00C836CD" w:rsidRDefault="00C8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A813" w14:textId="594B9CE3" w:rsidR="006904AE" w:rsidRDefault="006904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6A5F" w14:textId="77777777" w:rsidR="00C836CD" w:rsidRDefault="00C836CD">
      <w:pPr>
        <w:spacing w:after="0" w:line="240" w:lineRule="auto"/>
      </w:pPr>
      <w:r>
        <w:separator/>
      </w:r>
    </w:p>
  </w:footnote>
  <w:footnote w:type="continuationSeparator" w:id="0">
    <w:p w14:paraId="21AC26E7" w14:textId="77777777" w:rsidR="00C836CD" w:rsidRDefault="00C836CD">
      <w:pPr>
        <w:spacing w:after="0" w:line="240" w:lineRule="auto"/>
      </w:pPr>
      <w:r>
        <w:continuationSeparator/>
      </w:r>
    </w:p>
  </w:footnote>
  <w:footnote w:id="1">
    <w:p w14:paraId="476BB559" w14:textId="7872D31B" w:rsidR="00FC31B0" w:rsidRPr="00FC31B0" w:rsidRDefault="00FC31B0" w:rsidP="00A762C4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FC31B0">
        <w:rPr>
          <w:lang w:val="fr-FR"/>
        </w:rPr>
        <w:t xml:space="preserve"> </w:t>
      </w:r>
      <w:proofErr w:type="spellStart"/>
      <w:r w:rsidRPr="00FC31B0">
        <w:rPr>
          <w:lang w:val="fr-FR"/>
        </w:rPr>
        <w:t>Începând</w:t>
      </w:r>
      <w:proofErr w:type="spellEnd"/>
      <w:r w:rsidRPr="00FC31B0">
        <w:rPr>
          <w:lang w:val="fr-FR"/>
        </w:rPr>
        <w:t xml:space="preserve"> </w:t>
      </w:r>
      <w:proofErr w:type="spellStart"/>
      <w:r w:rsidRPr="00FC31B0">
        <w:rPr>
          <w:lang w:val="fr-FR"/>
        </w:rPr>
        <w:t>cu</w:t>
      </w:r>
      <w:proofErr w:type="spellEnd"/>
      <w:r w:rsidRPr="00FC31B0">
        <w:rPr>
          <w:lang w:val="fr-FR"/>
        </w:rPr>
        <w:t xml:space="preserve"> </w:t>
      </w:r>
      <w:proofErr w:type="spellStart"/>
      <w:r w:rsidRPr="00FC31B0">
        <w:rPr>
          <w:lang w:val="fr-FR"/>
        </w:rPr>
        <w:t>anul</w:t>
      </w:r>
      <w:proofErr w:type="spellEnd"/>
      <w:r w:rsidRPr="00FC31B0">
        <w:rPr>
          <w:lang w:val="fr-FR"/>
        </w:rPr>
        <w:t xml:space="preserve"> </w:t>
      </w:r>
      <w:proofErr w:type="spellStart"/>
      <w:r w:rsidRPr="00FC31B0">
        <w:rPr>
          <w:lang w:val="fr-FR"/>
        </w:rPr>
        <w:t>financiar</w:t>
      </w:r>
      <w:proofErr w:type="spellEnd"/>
      <w:r w:rsidRPr="00FC31B0">
        <w:rPr>
          <w:lang w:val="fr-FR"/>
        </w:rPr>
        <w:t xml:space="preserve"> 202</w:t>
      </w:r>
      <w:r>
        <w:rPr>
          <w:lang w:val="fr-FR"/>
        </w:rPr>
        <w:t>2</w:t>
      </w:r>
      <w:r w:rsidRPr="00FC31B0">
        <w:rPr>
          <w:lang w:val="fr-FR"/>
        </w:rPr>
        <w:t xml:space="preserve">, </w:t>
      </w:r>
      <w:proofErr w:type="spellStart"/>
      <w:r w:rsidRPr="00FC31B0">
        <w:rPr>
          <w:lang w:val="fr-FR"/>
        </w:rPr>
        <w:t>Societatea</w:t>
      </w:r>
      <w:proofErr w:type="spellEnd"/>
      <w:r w:rsidRPr="00FC31B0">
        <w:rPr>
          <w:lang w:val="fr-FR"/>
        </w:rPr>
        <w:t xml:space="preserve"> va</w:t>
      </w:r>
      <w:r>
        <w:rPr>
          <w:lang w:val="fr-FR"/>
        </w:rPr>
        <w:t xml:space="preserve"> publica </w:t>
      </w:r>
      <w:proofErr w:type="spellStart"/>
      <w:r>
        <w:rPr>
          <w:lang w:val="fr-FR"/>
        </w:rPr>
        <w:t>raportul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remunerare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conformitate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politica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remunerare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adoptată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hotărârea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adunării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</w:t>
      </w:r>
      <w:r w:rsidR="00A762C4">
        <w:rPr>
          <w:lang w:val="fr-FR"/>
        </w:rPr>
        <w:t>e</w:t>
      </w:r>
      <w:r>
        <w:rPr>
          <w:lang w:val="fr-FR"/>
        </w:rPr>
        <w:t>n</w:t>
      </w:r>
      <w:r w:rsidR="00A762C4">
        <w:rPr>
          <w:lang w:val="fr-FR"/>
        </w:rPr>
        <w:t>e</w:t>
      </w:r>
      <w:r>
        <w:rPr>
          <w:lang w:val="fr-FR"/>
        </w:rPr>
        <w:t>rale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r w:rsidR="00F732FA">
        <w:rPr>
          <w:lang w:val="fr-FR"/>
        </w:rPr>
        <w:t>18</w:t>
      </w:r>
      <w:r w:rsidR="00A762C4">
        <w:rPr>
          <w:lang w:val="fr-FR"/>
        </w:rPr>
        <w:t>.</w:t>
      </w:r>
      <w:r w:rsidR="00F732FA">
        <w:rPr>
          <w:lang w:val="fr-FR"/>
        </w:rPr>
        <w:t>08</w:t>
      </w:r>
      <w:r w:rsidR="00A762C4">
        <w:rPr>
          <w:lang w:val="fr-FR"/>
        </w:rPr>
        <w:t>.2021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conformitate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art. </w:t>
      </w:r>
      <w:r w:rsidR="00401EDB">
        <w:rPr>
          <w:lang w:val="fr-FR"/>
        </w:rPr>
        <w:t>107</w:t>
      </w:r>
      <w:r>
        <w:rPr>
          <w:vertAlign w:val="superscript"/>
          <w:lang w:val="fr-FR"/>
        </w:rPr>
        <w:t xml:space="preserve"> </w:t>
      </w:r>
      <w:proofErr w:type="spellStart"/>
      <w:r w:rsidRPr="00FC31B0">
        <w:rPr>
          <w:lang w:val="fr-FR"/>
        </w:rPr>
        <w:t>din</w:t>
      </w:r>
      <w:proofErr w:type="spellEnd"/>
      <w:r w:rsidRPr="00FC31B0">
        <w:rPr>
          <w:lang w:val="fr-FR"/>
        </w:rPr>
        <w:t xml:space="preserve"> </w:t>
      </w:r>
      <w:proofErr w:type="spellStart"/>
      <w:r w:rsidRPr="00FC31B0">
        <w:rPr>
          <w:lang w:val="fr-FR"/>
        </w:rPr>
        <w:t>Legea</w:t>
      </w:r>
      <w:proofErr w:type="spellEnd"/>
      <w:r w:rsidRPr="00FC31B0">
        <w:rPr>
          <w:lang w:val="fr-FR"/>
        </w:rPr>
        <w:t xml:space="preserve"> 24/2017 </w:t>
      </w:r>
      <w:proofErr w:type="spellStart"/>
      <w:r w:rsidRPr="00FC31B0">
        <w:rPr>
          <w:lang w:val="fr-FR"/>
        </w:rPr>
        <w:t>privind</w:t>
      </w:r>
      <w:proofErr w:type="spellEnd"/>
      <w:r w:rsidRPr="00FC31B0">
        <w:rPr>
          <w:lang w:val="fr-FR"/>
        </w:rPr>
        <w:t xml:space="preserve"> </w:t>
      </w:r>
      <w:proofErr w:type="spellStart"/>
      <w:r w:rsidRPr="00FC31B0">
        <w:rPr>
          <w:lang w:val="fr-FR"/>
        </w:rPr>
        <w:t>emitenții</w:t>
      </w:r>
      <w:proofErr w:type="spellEnd"/>
      <w:r w:rsidRPr="00FC31B0">
        <w:rPr>
          <w:lang w:val="fr-FR"/>
        </w:rPr>
        <w:t xml:space="preserve"> de instrumente </w:t>
      </w:r>
      <w:proofErr w:type="spellStart"/>
      <w:r w:rsidRPr="00FC31B0">
        <w:rPr>
          <w:lang w:val="fr-FR"/>
        </w:rPr>
        <w:t>financiare</w:t>
      </w:r>
      <w:proofErr w:type="spellEnd"/>
      <w:r w:rsidRPr="00FC31B0">
        <w:rPr>
          <w:lang w:val="fr-FR"/>
        </w:rPr>
        <w:t xml:space="preserve"> </w:t>
      </w:r>
      <w:proofErr w:type="spellStart"/>
      <w:r w:rsidRPr="00FC31B0">
        <w:rPr>
          <w:lang w:val="fr-FR"/>
        </w:rPr>
        <w:t>și</w:t>
      </w:r>
      <w:proofErr w:type="spellEnd"/>
      <w:r w:rsidRPr="00FC31B0">
        <w:rPr>
          <w:lang w:val="fr-FR"/>
        </w:rPr>
        <w:t xml:space="preserve"> </w:t>
      </w:r>
      <w:proofErr w:type="spellStart"/>
      <w:r w:rsidRPr="00FC31B0">
        <w:rPr>
          <w:lang w:val="fr-FR"/>
        </w:rPr>
        <w:t>operațiuni</w:t>
      </w:r>
      <w:proofErr w:type="spellEnd"/>
      <w:r w:rsidRPr="00FC31B0">
        <w:rPr>
          <w:lang w:val="fr-FR"/>
        </w:rPr>
        <w:t xml:space="preserve"> de </w:t>
      </w:r>
      <w:proofErr w:type="spellStart"/>
      <w:r w:rsidRPr="00FC31B0">
        <w:rPr>
          <w:lang w:val="fr-FR"/>
        </w:rPr>
        <w:t>piață</w:t>
      </w:r>
      <w:proofErr w:type="spellEnd"/>
      <w:r w:rsidRPr="00FC31B0">
        <w:rPr>
          <w:lang w:val="fr-FR"/>
        </w:rPr>
        <w:t xml:space="preserve">, </w:t>
      </w:r>
      <w:proofErr w:type="spellStart"/>
      <w:r w:rsidRPr="00FC31B0">
        <w:rPr>
          <w:lang w:val="fr-FR"/>
        </w:rPr>
        <w:t>cu</w:t>
      </w:r>
      <w:proofErr w:type="spellEnd"/>
      <w:r w:rsidRPr="00FC31B0">
        <w:rPr>
          <w:lang w:val="fr-FR"/>
        </w:rPr>
        <w:t xml:space="preserve"> </w:t>
      </w:r>
      <w:proofErr w:type="spellStart"/>
      <w:r w:rsidRPr="00FC31B0">
        <w:rPr>
          <w:lang w:val="fr-FR"/>
        </w:rPr>
        <w:t>modificările</w:t>
      </w:r>
      <w:proofErr w:type="spellEnd"/>
      <w:r w:rsidRPr="00FC31B0">
        <w:rPr>
          <w:lang w:val="fr-FR"/>
        </w:rPr>
        <w:t xml:space="preserve"> </w:t>
      </w:r>
      <w:proofErr w:type="spellStart"/>
      <w:r w:rsidRPr="00FC31B0">
        <w:rPr>
          <w:lang w:val="fr-FR"/>
        </w:rPr>
        <w:t>și</w:t>
      </w:r>
      <w:proofErr w:type="spellEnd"/>
      <w:r w:rsidRPr="00FC31B0">
        <w:rPr>
          <w:lang w:val="fr-FR"/>
        </w:rPr>
        <w:t xml:space="preserve"> </w:t>
      </w:r>
      <w:proofErr w:type="spellStart"/>
      <w:r w:rsidRPr="00FC31B0">
        <w:rPr>
          <w:lang w:val="fr-FR"/>
        </w:rPr>
        <w:t>completările</w:t>
      </w:r>
      <w:proofErr w:type="spellEnd"/>
      <w:r w:rsidRPr="00FC31B0">
        <w:rPr>
          <w:lang w:val="fr-FR"/>
        </w:rPr>
        <w:t xml:space="preserve"> </w:t>
      </w:r>
      <w:proofErr w:type="spellStart"/>
      <w:r w:rsidRPr="00FC31B0">
        <w:rPr>
          <w:lang w:val="fr-FR"/>
        </w:rPr>
        <w:t>ulterioare</w:t>
      </w:r>
      <w:proofErr w:type="spellEnd"/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AB74" w14:textId="77777777" w:rsidR="00991A6F" w:rsidRPr="0045636F" w:rsidRDefault="00991A6F" w:rsidP="00991A6F">
    <w:pPr>
      <w:pStyle w:val="Header"/>
    </w:pPr>
    <w:r w:rsidRPr="0045636F">
      <w:rPr>
        <w:noProof/>
      </w:rPr>
      <w:drawing>
        <wp:anchor distT="0" distB="0" distL="114300" distR="114300" simplePos="0" relativeHeight="251659264" behindDoc="1" locked="0" layoutInCell="1" allowOverlap="1" wp14:anchorId="6537536A" wp14:editId="1687F9FA">
          <wp:simplePos x="0" y="0"/>
          <wp:positionH relativeFrom="column">
            <wp:posOffset>-495300</wp:posOffset>
          </wp:positionH>
          <wp:positionV relativeFrom="paragraph">
            <wp:posOffset>7620</wp:posOffset>
          </wp:positionV>
          <wp:extent cx="1559560" cy="725805"/>
          <wp:effectExtent l="0" t="0" r="2540" b="0"/>
          <wp:wrapTight wrapText="bothSides">
            <wp:wrapPolygon edited="0">
              <wp:start x="0" y="0"/>
              <wp:lineTo x="0" y="20976"/>
              <wp:lineTo x="21371" y="20976"/>
              <wp:lineTo x="21371" y="0"/>
              <wp:lineTo x="0" y="0"/>
            </wp:wrapPolygon>
          </wp:wrapTight>
          <wp:docPr id="25" name="Picture 2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45636F">
      <w:t>Agroserv</w:t>
    </w:r>
    <w:proofErr w:type="spellEnd"/>
    <w:r w:rsidRPr="0045636F">
      <w:t xml:space="preserve"> </w:t>
    </w:r>
    <w:proofErr w:type="spellStart"/>
    <w:r w:rsidRPr="0045636F">
      <w:t>Mariuța</w:t>
    </w:r>
    <w:proofErr w:type="spellEnd"/>
    <w:r w:rsidRPr="0045636F">
      <w:t xml:space="preserve"> S</w:t>
    </w:r>
    <w:r>
      <w:t>.</w:t>
    </w:r>
    <w:r w:rsidRPr="0045636F">
      <w:t>A</w:t>
    </w:r>
    <w:r>
      <w:t>.</w:t>
    </w:r>
  </w:p>
  <w:p w14:paraId="6E094DF1" w14:textId="77777777" w:rsidR="00991A6F" w:rsidRPr="0045636F" w:rsidRDefault="00991A6F" w:rsidP="00991A6F">
    <w:pPr>
      <w:pStyle w:val="Header"/>
    </w:pPr>
    <w:proofErr w:type="spellStart"/>
    <w:r w:rsidRPr="0045636F">
      <w:t>Ferma</w:t>
    </w:r>
    <w:proofErr w:type="spellEnd"/>
    <w:r w:rsidRPr="0045636F">
      <w:t xml:space="preserve"> </w:t>
    </w:r>
    <w:proofErr w:type="spellStart"/>
    <w:r w:rsidRPr="0045636F">
      <w:t>Zootehnica</w:t>
    </w:r>
    <w:proofErr w:type="spellEnd"/>
    <w:r w:rsidRPr="0045636F">
      <w:t xml:space="preserve"> </w:t>
    </w:r>
  </w:p>
  <w:p w14:paraId="75FFF75B" w14:textId="77777777" w:rsidR="00991A6F" w:rsidRPr="0045636F" w:rsidRDefault="00991A6F" w:rsidP="00991A6F">
    <w:pPr>
      <w:pStyle w:val="Header"/>
    </w:pPr>
    <w:proofErr w:type="spellStart"/>
    <w:r w:rsidRPr="0045636F">
      <w:t>Dragoești</w:t>
    </w:r>
    <w:proofErr w:type="spellEnd"/>
    <w:r w:rsidRPr="0045636F">
      <w:t xml:space="preserve"> 927100, </w:t>
    </w:r>
    <w:proofErr w:type="spellStart"/>
    <w:r w:rsidRPr="0045636F">
      <w:t>Ialomița</w:t>
    </w:r>
    <w:proofErr w:type="spellEnd"/>
  </w:p>
  <w:p w14:paraId="366FA82A" w14:textId="62D3D1A6" w:rsidR="006904AE" w:rsidRPr="00991A6F" w:rsidRDefault="00991A6F" w:rsidP="00991A6F">
    <w:pPr>
      <w:pStyle w:val="Header"/>
    </w:pPr>
    <w:hyperlink r:id="rId2" w:history="1">
      <w:r w:rsidRPr="0045636F">
        <w:rPr>
          <w:rStyle w:val="Hyperlink"/>
        </w:rPr>
        <w:t>www.laptariacucaimac.ro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E3A"/>
    <w:multiLevelType w:val="multilevel"/>
    <w:tmpl w:val="AEBCD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70263"/>
    <w:multiLevelType w:val="multilevel"/>
    <w:tmpl w:val="9F66BA7E"/>
    <w:lvl w:ilvl="0">
      <w:start w:val="1"/>
      <w:numFmt w:val="lowerRoman"/>
      <w:lvlText w:val="(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3D2E"/>
    <w:multiLevelType w:val="multilevel"/>
    <w:tmpl w:val="BBE83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0A781E"/>
    <w:multiLevelType w:val="multilevel"/>
    <w:tmpl w:val="F36C195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3773F90"/>
    <w:multiLevelType w:val="multilevel"/>
    <w:tmpl w:val="557E4D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6BB10BA"/>
    <w:multiLevelType w:val="multilevel"/>
    <w:tmpl w:val="AA342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F2744B"/>
    <w:multiLevelType w:val="multilevel"/>
    <w:tmpl w:val="4E28B80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  <w:rPr>
        <w:b/>
      </w:r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AD27916"/>
    <w:multiLevelType w:val="hybridMultilevel"/>
    <w:tmpl w:val="2F24D2AC"/>
    <w:lvl w:ilvl="0" w:tplc="AF921D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D3BE3"/>
    <w:multiLevelType w:val="multilevel"/>
    <w:tmpl w:val="55DE95FA"/>
    <w:lvl w:ilvl="0">
      <w:start w:val="1"/>
      <w:numFmt w:val="decimal"/>
      <w:lvlText w:val="(%1)"/>
      <w:lvlJc w:val="left"/>
      <w:pPr>
        <w:ind w:left="735" w:hanging="375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56601"/>
    <w:multiLevelType w:val="multilevel"/>
    <w:tmpl w:val="E74AB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CA3914"/>
    <w:multiLevelType w:val="multilevel"/>
    <w:tmpl w:val="EF006AF6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316A6"/>
    <w:multiLevelType w:val="multilevel"/>
    <w:tmpl w:val="273A5B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B49A6"/>
    <w:multiLevelType w:val="hybridMultilevel"/>
    <w:tmpl w:val="5B6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5365D"/>
    <w:multiLevelType w:val="multilevel"/>
    <w:tmpl w:val="AE686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4EB21E1"/>
    <w:multiLevelType w:val="multilevel"/>
    <w:tmpl w:val="F0D0F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769C0065"/>
    <w:multiLevelType w:val="multilevel"/>
    <w:tmpl w:val="942E57EA"/>
    <w:lvl w:ilvl="0">
      <w:start w:val="1"/>
      <w:numFmt w:val="decimal"/>
      <w:pStyle w:val="bullet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C134720"/>
    <w:multiLevelType w:val="multilevel"/>
    <w:tmpl w:val="92E4C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16"/>
  </w:num>
  <w:num w:numId="8">
    <w:abstractNumId w:val="9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11"/>
  </w:num>
  <w:num w:numId="14">
    <w:abstractNumId w:val="4"/>
  </w:num>
  <w:num w:numId="15">
    <w:abstractNumId w:val="1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42"/>
    <w:rsid w:val="00052FA9"/>
    <w:rsid w:val="000D553A"/>
    <w:rsid w:val="000F28AF"/>
    <w:rsid w:val="00147442"/>
    <w:rsid w:val="002D7C82"/>
    <w:rsid w:val="003B5B12"/>
    <w:rsid w:val="00401EDB"/>
    <w:rsid w:val="004D10CA"/>
    <w:rsid w:val="00500F7B"/>
    <w:rsid w:val="00574E05"/>
    <w:rsid w:val="005B5472"/>
    <w:rsid w:val="005D4240"/>
    <w:rsid w:val="006904AE"/>
    <w:rsid w:val="00710948"/>
    <w:rsid w:val="00782837"/>
    <w:rsid w:val="008437EB"/>
    <w:rsid w:val="008D496B"/>
    <w:rsid w:val="00991A6F"/>
    <w:rsid w:val="00A762C4"/>
    <w:rsid w:val="00AA00CA"/>
    <w:rsid w:val="00C836CD"/>
    <w:rsid w:val="00F20918"/>
    <w:rsid w:val="00F732FA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BE18E"/>
  <w15:docId w15:val="{B1212CB6-1F80-4CA0-AA03-F0B3D45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B0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45F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1E523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"/>
    <w:uiPriority w:val="99"/>
    <w:rsid w:val="001E5230"/>
    <w:pPr>
      <w:widowControl w:val="0"/>
      <w:autoSpaceDE w:val="0"/>
      <w:autoSpaceDN w:val="0"/>
      <w:adjustRightInd w:val="0"/>
      <w:spacing w:after="0" w:line="49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1E5230"/>
    <w:pPr>
      <w:widowControl w:val="0"/>
      <w:autoSpaceDE w:val="0"/>
      <w:autoSpaceDN w:val="0"/>
      <w:adjustRightInd w:val="0"/>
      <w:spacing w:after="0" w:line="252" w:lineRule="exact"/>
      <w:ind w:hanging="1447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1E5230"/>
    <w:rPr>
      <w:rFonts w:ascii="Arial" w:hAnsi="Arial" w:cs="Arial"/>
      <w:sz w:val="22"/>
      <w:szCs w:val="22"/>
    </w:rPr>
  </w:style>
  <w:style w:type="character" w:customStyle="1" w:styleId="StyleTextContractBoldChar">
    <w:name w:val="Style Text Contract + Bold Char"/>
    <w:rsid w:val="001E5230"/>
    <w:rPr>
      <w:rFonts w:ascii="Arial" w:hAnsi="Arial" w:cs="Arial"/>
      <w:b/>
      <w:bCs/>
      <w:sz w:val="22"/>
      <w:lang w:val="ro-RO" w:bidi="ar-SA"/>
    </w:rPr>
  </w:style>
  <w:style w:type="character" w:customStyle="1" w:styleId="longtext">
    <w:name w:val="long_text"/>
    <w:basedOn w:val="DefaultParagraphFont"/>
    <w:uiPriority w:val="99"/>
    <w:rsid w:val="001E5230"/>
  </w:style>
  <w:style w:type="paragraph" w:customStyle="1" w:styleId="Normal1">
    <w:name w:val="Normal1"/>
    <w:rsid w:val="0020770C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4A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5F"/>
  </w:style>
  <w:style w:type="paragraph" w:styleId="Footer">
    <w:name w:val="footer"/>
    <w:basedOn w:val="Normal"/>
    <w:link w:val="FooterChar"/>
    <w:uiPriority w:val="99"/>
    <w:unhideWhenUsed/>
    <w:rsid w:val="004A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5F"/>
  </w:style>
  <w:style w:type="paragraph" w:customStyle="1" w:styleId="bullet-">
    <w:name w:val="bullet -"/>
    <w:basedOn w:val="Normal"/>
    <w:uiPriority w:val="99"/>
    <w:rsid w:val="00AA569B"/>
    <w:pPr>
      <w:numPr>
        <w:numId w:val="15"/>
      </w:numPr>
      <w:spacing w:after="40"/>
      <w:jc w:val="both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6D4E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3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1094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1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1B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D7C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aptariacucaimac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ptariacucaimac.r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cUYY36IC2eMi1sKyPcAX0wNog==">AMUW2mV0Yklg3PC84kx3akn8qb42+v0M217RbTKUcoyRSW6+H01eXVuQDNnQTNRV7UVFUOnpP9k08r/mnzcGIMUghFDgCdzR7H9VXvGxpsuHDLnUA1fdXjc=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85F326-945E-4836-AEBE-50D3700E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Horia Radulescu</cp:lastModifiedBy>
  <cp:revision>5</cp:revision>
  <dcterms:created xsi:type="dcterms:W3CDTF">2022-03-08T07:42:00Z</dcterms:created>
  <dcterms:modified xsi:type="dcterms:W3CDTF">2022-03-21T10:53:00Z</dcterms:modified>
</cp:coreProperties>
</file>